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B75" w:rsidRPr="00AC3071" w:rsidRDefault="00DF5515" w:rsidP="00B33C60">
      <w:pPr>
        <w:pStyle w:val="FacultySchoolName"/>
      </w:pPr>
      <w:r>
        <w:t>Equity and Diversity</w:t>
      </w:r>
    </w:p>
    <w:p w:rsidR="00132B75" w:rsidRPr="00351D39" w:rsidRDefault="00132B75" w:rsidP="00132B75">
      <w:pPr>
        <w:suppressAutoHyphens/>
      </w:pPr>
    </w:p>
    <w:p w:rsidR="00132B75" w:rsidRPr="00351D39" w:rsidRDefault="00132B75" w:rsidP="00132B75">
      <w:pPr>
        <w:suppressAutoHyphens/>
      </w:pPr>
    </w:p>
    <w:p w:rsidR="00132B75" w:rsidRPr="00351D39" w:rsidRDefault="00132B75" w:rsidP="00132B75">
      <w:pPr>
        <w:suppressAutoHyphens/>
      </w:pPr>
    </w:p>
    <w:p w:rsidR="00132B75" w:rsidRPr="00132B75" w:rsidRDefault="00DF5515" w:rsidP="001D120D">
      <w:pPr>
        <w:pStyle w:val="MainHeading"/>
        <w:rPr>
          <w:szCs w:val="68"/>
        </w:rPr>
      </w:pPr>
      <w:r>
        <w:rPr>
          <w:szCs w:val="68"/>
        </w:rPr>
        <w:t>EPHEA 2013 Conference</w:t>
      </w:r>
    </w:p>
    <w:p w:rsidR="00132B75" w:rsidRPr="00132B75" w:rsidRDefault="00DF5515" w:rsidP="001D120D">
      <w:pPr>
        <w:pStyle w:val="MainHeading"/>
        <w:rPr>
          <w:szCs w:val="17"/>
        </w:rPr>
      </w:pPr>
      <w:r>
        <w:rPr>
          <w:szCs w:val="68"/>
        </w:rPr>
        <w:t>Organisers’ Report</w:t>
      </w:r>
    </w:p>
    <w:p w:rsidR="00132B75" w:rsidRPr="00351D39" w:rsidRDefault="00132B75" w:rsidP="00132B75">
      <w:pPr>
        <w:suppressAutoHyphens/>
      </w:pPr>
    </w:p>
    <w:p w:rsidR="00132B75" w:rsidRPr="00351D39" w:rsidRDefault="00132B75" w:rsidP="00132B75">
      <w:pPr>
        <w:suppressAutoHyphens/>
      </w:pPr>
    </w:p>
    <w:p w:rsidR="00132B75" w:rsidRPr="00351D39" w:rsidRDefault="00132B75" w:rsidP="00132B75">
      <w:pPr>
        <w:suppressAutoHyphens/>
      </w:pPr>
    </w:p>
    <w:p w:rsidR="003F1216" w:rsidRDefault="003F1216" w:rsidP="001D120D">
      <w:pPr>
        <w:pStyle w:val="SubHeading"/>
        <w:sectPr w:rsidR="003F1216" w:rsidSect="00132B75">
          <w:headerReference w:type="even" r:id="rId7"/>
          <w:headerReference w:type="default" r:id="rId8"/>
          <w:footerReference w:type="even" r:id="rId9"/>
          <w:footerReference w:type="default" r:id="rId10"/>
          <w:pgSz w:w="11900" w:h="16840" w:code="9"/>
          <w:pgMar w:top="4253" w:right="1134" w:bottom="4253" w:left="1134" w:header="284" w:footer="284" w:gutter="0"/>
          <w:cols w:space="708"/>
        </w:sectPr>
      </w:pPr>
      <w:r>
        <w:t>Hosted by The University of Western Australia in collaboration with Curtin University of Technology, Edith Cowan University and Murdoch University</w:t>
      </w:r>
    </w:p>
    <w:p w:rsidR="00F74A19" w:rsidRPr="003B1CD9" w:rsidRDefault="00F74A19" w:rsidP="00F74A19">
      <w:pPr>
        <w:spacing w:after="120"/>
        <w:rPr>
          <w:rFonts w:ascii="Arial" w:hAnsi="Arial" w:cs="Arial"/>
          <w:sz w:val="28"/>
          <w:szCs w:val="28"/>
        </w:rPr>
      </w:pPr>
      <w:r w:rsidRPr="003B1CD9">
        <w:rPr>
          <w:rFonts w:ascii="Arial" w:hAnsi="Arial" w:cs="Arial"/>
          <w:sz w:val="28"/>
          <w:szCs w:val="28"/>
        </w:rPr>
        <w:lastRenderedPageBreak/>
        <w:t>EPHEA 2013 Conference</w:t>
      </w:r>
    </w:p>
    <w:p w:rsidR="00F74A19" w:rsidRPr="003B1CD9" w:rsidRDefault="00F74A19" w:rsidP="00F74A19">
      <w:pPr>
        <w:spacing w:after="120"/>
        <w:rPr>
          <w:rFonts w:ascii="Arial" w:hAnsi="Arial" w:cs="Arial"/>
        </w:rPr>
      </w:pPr>
      <w:r w:rsidRPr="003B1CD9">
        <w:rPr>
          <w:rFonts w:ascii="Arial" w:hAnsi="Arial" w:cs="Arial"/>
          <w:i/>
        </w:rPr>
        <w:t>Building for the Future: Leadership, Community and Social Inclusion</w:t>
      </w:r>
    </w:p>
    <w:p w:rsidR="00F74A19" w:rsidRDefault="00F74A19" w:rsidP="00F74A19">
      <w:pPr>
        <w:rPr>
          <w:rFonts w:ascii="Arial" w:hAnsi="Arial" w:cs="Arial"/>
        </w:rPr>
      </w:pPr>
      <w:r w:rsidRPr="003B1CD9">
        <w:rPr>
          <w:rFonts w:ascii="Arial" w:hAnsi="Arial" w:cs="Arial"/>
        </w:rPr>
        <w:t>Organisers’ Report</w:t>
      </w:r>
    </w:p>
    <w:p w:rsidR="003B1CD9" w:rsidRPr="003B1CD9" w:rsidRDefault="003B1CD9" w:rsidP="00F74A19">
      <w:pPr>
        <w:rPr>
          <w:rFonts w:ascii="Arial" w:hAnsi="Arial" w:cs="Arial"/>
        </w:rPr>
      </w:pPr>
    </w:p>
    <w:p w:rsidR="00F74A19" w:rsidRPr="003B1CD9" w:rsidRDefault="00F74A19" w:rsidP="00F74A19">
      <w:pPr>
        <w:jc w:val="center"/>
        <w:rPr>
          <w:rFonts w:ascii="Arial" w:hAnsi="Arial" w:cs="Arial"/>
          <w:sz w:val="22"/>
          <w:szCs w:val="22"/>
        </w:rPr>
      </w:pPr>
    </w:p>
    <w:p w:rsidR="00F74A19" w:rsidRPr="003B1CD9" w:rsidRDefault="00F74A19" w:rsidP="00F74A19">
      <w:pPr>
        <w:jc w:val="both"/>
        <w:rPr>
          <w:rFonts w:ascii="Arial" w:hAnsi="Arial" w:cs="Arial"/>
          <w:sz w:val="22"/>
          <w:szCs w:val="22"/>
        </w:rPr>
      </w:pPr>
      <w:r w:rsidRPr="003B1CD9">
        <w:rPr>
          <w:rFonts w:ascii="Arial" w:hAnsi="Arial" w:cs="Arial"/>
          <w:sz w:val="22"/>
          <w:szCs w:val="22"/>
        </w:rPr>
        <w:t>The 11</w:t>
      </w:r>
      <w:r w:rsidRPr="003B1CD9">
        <w:rPr>
          <w:rFonts w:ascii="Arial" w:hAnsi="Arial" w:cs="Arial"/>
          <w:sz w:val="22"/>
          <w:szCs w:val="22"/>
          <w:vertAlign w:val="superscript"/>
        </w:rPr>
        <w:t>th</w:t>
      </w:r>
      <w:r w:rsidRPr="003B1CD9">
        <w:rPr>
          <w:rFonts w:ascii="Arial" w:hAnsi="Arial" w:cs="Arial"/>
          <w:sz w:val="22"/>
          <w:szCs w:val="22"/>
        </w:rPr>
        <w:t xml:space="preserve"> biennial EPHEA Conference was held in Perth, Western Australia, and hosted collaboratively by The University of Western Australia, Curtin University of Technology, Edith Cowan University, and Murdoch University. The Conference took place from Tuesday 26 to Friday 29 November, and was held at the University Club of WA.</w:t>
      </w:r>
    </w:p>
    <w:p w:rsidR="00F74A19" w:rsidRPr="003B1CD9" w:rsidRDefault="00F74A19" w:rsidP="00F74A19">
      <w:pPr>
        <w:jc w:val="both"/>
        <w:rPr>
          <w:rFonts w:ascii="Arial" w:hAnsi="Arial" w:cs="Arial"/>
          <w:sz w:val="22"/>
          <w:szCs w:val="22"/>
        </w:rPr>
      </w:pPr>
    </w:p>
    <w:p w:rsidR="00F74A19" w:rsidRPr="003B1CD9" w:rsidRDefault="00F74A19" w:rsidP="00F74A19">
      <w:pPr>
        <w:jc w:val="both"/>
        <w:rPr>
          <w:rFonts w:ascii="Arial" w:hAnsi="Arial" w:cs="Arial"/>
          <w:sz w:val="22"/>
          <w:szCs w:val="22"/>
        </w:rPr>
      </w:pPr>
    </w:p>
    <w:p w:rsidR="00F74A19" w:rsidRPr="003B1CD9" w:rsidRDefault="00F74A19" w:rsidP="00F74A19">
      <w:pPr>
        <w:spacing w:after="120"/>
        <w:rPr>
          <w:rFonts w:ascii="Arial" w:hAnsi="Arial" w:cs="Arial"/>
          <w:sz w:val="22"/>
          <w:szCs w:val="22"/>
        </w:rPr>
      </w:pPr>
      <w:r w:rsidRPr="003B1CD9">
        <w:rPr>
          <w:rFonts w:ascii="Arial" w:hAnsi="Arial" w:cs="Arial"/>
          <w:sz w:val="22"/>
          <w:szCs w:val="22"/>
        </w:rPr>
        <w:t>1. Organisers</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During the months leading up to the event, representatives from all four universities worked closely together through regular meetings, contributing both professional expertise and practical skills throughout the planning process. Excellent groundwork was done by Celine Gaudin at UWA, after which all aspects of organising, from reviewing abstracts and corresponding with delegates to sourcing caterers, entertainers, sponsors and volunteers, as well as budgeting, scheduling and producing the program book, were managed through in-house teamwork without employing a professional Events Manager. This enabled us to offer a more personalised service to delegates, and allowed more control over all elements of the conference. It was therefore highly rewarding for the Committee to see a 99% satisfaction rate with overall conference organisation in the post-conference survey.</w:t>
      </w:r>
    </w:p>
    <w:p w:rsidR="00F74A19" w:rsidRPr="003B1CD9" w:rsidRDefault="00F74A19" w:rsidP="00F74A19">
      <w:pPr>
        <w:spacing w:after="120"/>
        <w:jc w:val="both"/>
        <w:rPr>
          <w:rFonts w:ascii="Arial" w:hAnsi="Arial" w:cs="Arial"/>
          <w:b/>
          <w:sz w:val="22"/>
          <w:szCs w:val="22"/>
        </w:rPr>
      </w:pPr>
    </w:p>
    <w:p w:rsidR="00F74A19" w:rsidRPr="003B1CD9" w:rsidRDefault="00F74A19" w:rsidP="00F74A19">
      <w:pPr>
        <w:spacing w:after="120"/>
        <w:rPr>
          <w:rFonts w:ascii="Arial" w:hAnsi="Arial" w:cs="Arial"/>
          <w:sz w:val="22"/>
          <w:szCs w:val="22"/>
        </w:rPr>
      </w:pPr>
      <w:r w:rsidRPr="003B1CD9">
        <w:rPr>
          <w:rFonts w:ascii="Arial" w:hAnsi="Arial" w:cs="Arial"/>
          <w:sz w:val="22"/>
          <w:szCs w:val="22"/>
        </w:rPr>
        <w:t>The EPHEA 2013 Conference Committee consisted of the following members:</w:t>
      </w:r>
    </w:p>
    <w:p w:rsidR="00F74A19" w:rsidRPr="003B1CD9" w:rsidRDefault="00F74A19" w:rsidP="00F74A19">
      <w:pPr>
        <w:spacing w:after="20"/>
        <w:rPr>
          <w:rFonts w:ascii="Arial" w:hAnsi="Arial" w:cs="Arial"/>
          <w:sz w:val="22"/>
          <w:szCs w:val="22"/>
        </w:rPr>
      </w:pPr>
      <w:r w:rsidRPr="003B1CD9">
        <w:rPr>
          <w:rFonts w:ascii="Arial" w:hAnsi="Arial" w:cs="Arial"/>
          <w:sz w:val="22"/>
          <w:szCs w:val="22"/>
        </w:rPr>
        <w:t>Beverley Hill (Chair), UWA</w:t>
      </w:r>
    </w:p>
    <w:p w:rsidR="00F74A19" w:rsidRPr="003B1CD9" w:rsidRDefault="00F74A19" w:rsidP="00F74A19">
      <w:pPr>
        <w:spacing w:after="20"/>
        <w:rPr>
          <w:rFonts w:ascii="Arial" w:hAnsi="Arial" w:cs="Arial"/>
          <w:sz w:val="22"/>
          <w:szCs w:val="22"/>
        </w:rPr>
      </w:pPr>
      <w:r w:rsidRPr="003B1CD9">
        <w:rPr>
          <w:rFonts w:ascii="Arial" w:hAnsi="Arial" w:cs="Arial"/>
          <w:sz w:val="22"/>
          <w:szCs w:val="22"/>
        </w:rPr>
        <w:t>Fay Davidson, UWA</w:t>
      </w:r>
    </w:p>
    <w:p w:rsidR="00F74A19" w:rsidRPr="003B1CD9" w:rsidRDefault="00F74A19" w:rsidP="00F74A19">
      <w:pPr>
        <w:spacing w:after="20"/>
        <w:rPr>
          <w:rFonts w:ascii="Arial" w:hAnsi="Arial" w:cs="Arial"/>
          <w:sz w:val="22"/>
          <w:szCs w:val="22"/>
        </w:rPr>
      </w:pPr>
      <w:r w:rsidRPr="003B1CD9">
        <w:rPr>
          <w:rFonts w:ascii="Arial" w:hAnsi="Arial" w:cs="Arial"/>
          <w:sz w:val="22"/>
          <w:szCs w:val="22"/>
        </w:rPr>
        <w:t>Malcolm Fialho, UWA</w:t>
      </w:r>
    </w:p>
    <w:p w:rsidR="00F74A19" w:rsidRPr="003B1CD9" w:rsidRDefault="00F74A19" w:rsidP="00F74A19">
      <w:pPr>
        <w:spacing w:after="20"/>
        <w:rPr>
          <w:rFonts w:ascii="Arial" w:hAnsi="Arial" w:cs="Arial"/>
          <w:sz w:val="22"/>
          <w:szCs w:val="22"/>
        </w:rPr>
      </w:pPr>
      <w:r w:rsidRPr="003B1CD9">
        <w:rPr>
          <w:rFonts w:ascii="Arial" w:hAnsi="Arial" w:cs="Arial"/>
          <w:sz w:val="22"/>
          <w:szCs w:val="22"/>
        </w:rPr>
        <w:t>Christine Gunson, ECU</w:t>
      </w:r>
    </w:p>
    <w:p w:rsidR="00F74A19" w:rsidRPr="003B1CD9" w:rsidRDefault="00F74A19" w:rsidP="00F74A19">
      <w:pPr>
        <w:spacing w:after="20"/>
        <w:rPr>
          <w:rFonts w:ascii="Arial" w:hAnsi="Arial" w:cs="Arial"/>
          <w:sz w:val="22"/>
          <w:szCs w:val="22"/>
        </w:rPr>
      </w:pPr>
      <w:r w:rsidRPr="003B1CD9">
        <w:rPr>
          <w:rFonts w:ascii="Arial" w:hAnsi="Arial" w:cs="Arial"/>
          <w:sz w:val="22"/>
          <w:szCs w:val="22"/>
        </w:rPr>
        <w:t>Erica Lewin, Murdoch</w:t>
      </w:r>
    </w:p>
    <w:p w:rsidR="00F74A19" w:rsidRPr="003B1CD9" w:rsidRDefault="00F74A19" w:rsidP="00F74A19">
      <w:pPr>
        <w:spacing w:after="20"/>
        <w:rPr>
          <w:rFonts w:ascii="Arial" w:hAnsi="Arial" w:cs="Arial"/>
          <w:sz w:val="22"/>
          <w:szCs w:val="22"/>
        </w:rPr>
      </w:pPr>
      <w:r w:rsidRPr="003B1CD9">
        <w:rPr>
          <w:rFonts w:ascii="Arial" w:hAnsi="Arial" w:cs="Arial"/>
          <w:sz w:val="22"/>
          <w:szCs w:val="22"/>
        </w:rPr>
        <w:t>Louise Pollard, UWA</w:t>
      </w:r>
    </w:p>
    <w:p w:rsidR="00F74A19" w:rsidRPr="003B1CD9" w:rsidRDefault="00F74A19" w:rsidP="00F74A19">
      <w:pPr>
        <w:spacing w:after="20"/>
        <w:rPr>
          <w:rFonts w:ascii="Arial" w:hAnsi="Arial" w:cs="Arial"/>
          <w:sz w:val="22"/>
          <w:szCs w:val="22"/>
        </w:rPr>
      </w:pPr>
      <w:r w:rsidRPr="003B1CD9">
        <w:rPr>
          <w:rFonts w:ascii="Arial" w:hAnsi="Arial" w:cs="Arial"/>
          <w:sz w:val="22"/>
          <w:szCs w:val="22"/>
        </w:rPr>
        <w:t>Judy Skene, UWA</w:t>
      </w:r>
    </w:p>
    <w:p w:rsidR="00F74A19" w:rsidRPr="003B1CD9" w:rsidRDefault="00F74A19" w:rsidP="00F74A19">
      <w:pPr>
        <w:spacing w:after="20"/>
        <w:rPr>
          <w:rFonts w:ascii="Arial" w:hAnsi="Arial" w:cs="Arial"/>
          <w:sz w:val="22"/>
          <w:szCs w:val="22"/>
        </w:rPr>
      </w:pPr>
      <w:r w:rsidRPr="003B1CD9">
        <w:rPr>
          <w:rFonts w:ascii="Arial" w:hAnsi="Arial" w:cs="Arial"/>
          <w:sz w:val="22"/>
          <w:szCs w:val="22"/>
        </w:rPr>
        <w:t>Lucienne Tessens, UWA</w:t>
      </w:r>
    </w:p>
    <w:p w:rsidR="00F74A19" w:rsidRPr="003B1CD9" w:rsidRDefault="00F74A19" w:rsidP="00F74A19">
      <w:pPr>
        <w:spacing w:after="20"/>
        <w:rPr>
          <w:rFonts w:ascii="Arial" w:hAnsi="Arial" w:cs="Arial"/>
          <w:sz w:val="22"/>
          <w:szCs w:val="22"/>
        </w:rPr>
      </w:pPr>
      <w:r w:rsidRPr="003B1CD9">
        <w:rPr>
          <w:rFonts w:ascii="Arial" w:hAnsi="Arial" w:cs="Arial"/>
          <w:sz w:val="22"/>
          <w:szCs w:val="22"/>
        </w:rPr>
        <w:t>Claire Webb, UWA</w:t>
      </w:r>
    </w:p>
    <w:p w:rsidR="00F74A19" w:rsidRPr="003B1CD9" w:rsidRDefault="00F74A19" w:rsidP="00F74A19">
      <w:pPr>
        <w:jc w:val="both"/>
        <w:rPr>
          <w:rFonts w:ascii="Arial" w:hAnsi="Arial" w:cs="Arial"/>
          <w:sz w:val="22"/>
          <w:szCs w:val="22"/>
        </w:rPr>
      </w:pPr>
      <w:r w:rsidRPr="003B1CD9">
        <w:rPr>
          <w:rFonts w:ascii="Arial" w:hAnsi="Arial" w:cs="Arial"/>
          <w:sz w:val="22"/>
          <w:szCs w:val="22"/>
        </w:rPr>
        <w:t>Amanda Willis, Curtin</w:t>
      </w:r>
    </w:p>
    <w:p w:rsidR="00F74A19" w:rsidRPr="003B1CD9" w:rsidRDefault="00F74A19" w:rsidP="00F74A19">
      <w:pPr>
        <w:jc w:val="both"/>
        <w:rPr>
          <w:rFonts w:ascii="Arial" w:hAnsi="Arial" w:cs="Arial"/>
          <w:sz w:val="22"/>
          <w:szCs w:val="22"/>
        </w:rPr>
      </w:pPr>
      <w:r w:rsidRPr="003B1CD9">
        <w:rPr>
          <w:rFonts w:ascii="Arial" w:hAnsi="Arial" w:cs="Arial"/>
          <w:sz w:val="22"/>
          <w:szCs w:val="22"/>
        </w:rPr>
        <w:t>Anneli Strutt, UWA (Conference Coordinator)</w:t>
      </w:r>
    </w:p>
    <w:p w:rsidR="00F74A19" w:rsidRPr="003B1CD9" w:rsidRDefault="00F74A19" w:rsidP="00F74A19">
      <w:pPr>
        <w:jc w:val="both"/>
        <w:rPr>
          <w:rFonts w:ascii="Arial" w:hAnsi="Arial" w:cs="Arial"/>
          <w:sz w:val="22"/>
          <w:szCs w:val="22"/>
        </w:rPr>
      </w:pPr>
    </w:p>
    <w:p w:rsidR="00F74A19" w:rsidRPr="003B1CD9" w:rsidRDefault="00F74A19" w:rsidP="00F74A19">
      <w:pPr>
        <w:jc w:val="both"/>
        <w:rPr>
          <w:rFonts w:ascii="Arial" w:hAnsi="Arial" w:cs="Arial"/>
          <w:sz w:val="22"/>
          <w:szCs w:val="22"/>
        </w:rPr>
      </w:pPr>
    </w:p>
    <w:p w:rsidR="00F74A19" w:rsidRPr="003B1CD9" w:rsidRDefault="00F74A19" w:rsidP="00F74A19">
      <w:pPr>
        <w:spacing w:after="120"/>
        <w:rPr>
          <w:rFonts w:ascii="Arial" w:hAnsi="Arial" w:cs="Arial"/>
          <w:sz w:val="22"/>
          <w:szCs w:val="22"/>
        </w:rPr>
      </w:pPr>
      <w:r w:rsidRPr="003B1CD9">
        <w:rPr>
          <w:rFonts w:ascii="Arial" w:hAnsi="Arial" w:cs="Arial"/>
          <w:sz w:val="22"/>
          <w:szCs w:val="22"/>
        </w:rPr>
        <w:t>2. Delegates</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Attendance at EPHEA 2013 surpassed all expectations, with delegates arriving from 38 Higher Education institutions across Australia and New Zealand as well as from the UK, US, Canada and Japan. In addition to 11 Committee members, 12 volunteers and 15 invited speakers, we had 154 full conference attendees (including seven students), 15 single day attendees, over 30 delegates attending single sessions and a handful of guests at the social events. Special guest Lenny the guide dog was also in attendance at the Opening Ceremony, and a total of 61 delegates were present at the AGM.</w:t>
      </w:r>
    </w:p>
    <w:p w:rsidR="00F74A19" w:rsidRPr="00F129E8" w:rsidRDefault="00F74A19" w:rsidP="00F74A19">
      <w:pPr>
        <w:jc w:val="both"/>
        <w:rPr>
          <w:rFonts w:ascii="Arial" w:hAnsi="Arial" w:cs="Arial"/>
        </w:rPr>
      </w:pPr>
      <w:r w:rsidRPr="003B1CD9">
        <w:rPr>
          <w:rFonts w:ascii="Arial" w:hAnsi="Arial" w:cs="Arial"/>
          <w:sz w:val="22"/>
          <w:szCs w:val="22"/>
        </w:rPr>
        <w:t xml:space="preserve">In addition, the opening Keynote sessions were attended by a number of senior representatives from the host institutions and key stakeholders, and a particular highlight </w:t>
      </w:r>
      <w:r w:rsidRPr="00F129E8">
        <w:rPr>
          <w:rFonts w:ascii="Arial" w:hAnsi="Arial" w:cs="Arial"/>
        </w:rPr>
        <w:t xml:space="preserve">was the presence of </w:t>
      </w:r>
      <w:r w:rsidRPr="003B1CD9">
        <w:rPr>
          <w:rFonts w:ascii="Arial" w:hAnsi="Arial" w:cs="Arial"/>
          <w:sz w:val="22"/>
          <w:szCs w:val="22"/>
        </w:rPr>
        <w:t>the</w:t>
      </w:r>
      <w:r w:rsidRPr="003B1CD9">
        <w:rPr>
          <w:rFonts w:ascii="Arial" w:hAnsi="Arial" w:cs="Arial"/>
          <w:b/>
          <w:sz w:val="22"/>
          <w:szCs w:val="22"/>
        </w:rPr>
        <w:t xml:space="preserve"> </w:t>
      </w:r>
      <w:r w:rsidRPr="003B1CD9">
        <w:rPr>
          <w:rFonts w:ascii="Arial" w:hAnsi="Arial" w:cs="Arial"/>
          <w:sz w:val="22"/>
          <w:szCs w:val="22"/>
        </w:rPr>
        <w:t>United States Consul General, Ms Cynthia Griffin, with men in dark suits and earpieces adding to the general air of excitement.</w:t>
      </w:r>
    </w:p>
    <w:p w:rsidR="00F74A19" w:rsidRPr="00F129E8" w:rsidRDefault="00F74A19" w:rsidP="00F74A19">
      <w:pPr>
        <w:rPr>
          <w:rFonts w:ascii="Arial" w:hAnsi="Arial" w:cs="Arial"/>
          <w:sz w:val="28"/>
          <w:szCs w:val="28"/>
        </w:rPr>
      </w:pPr>
      <w:r w:rsidRPr="00F129E8">
        <w:rPr>
          <w:rFonts w:ascii="Arial" w:hAnsi="Arial" w:cs="Arial"/>
          <w:sz w:val="28"/>
          <w:szCs w:val="28"/>
        </w:rPr>
        <w:br w:type="page"/>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lastRenderedPageBreak/>
        <w:t>3. Presentations</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Our international and diverse range of Keynote, Invited and Panel Speakers covered topics ranging from indigeneity, gender, race, privilege, disability, diverse sexualities, and widening participation in the Higher Education context. The Speakers were frequently identified in survey responses as one of the best aspects of the conference, with the majority of respondents stating that they would recommend the content of presentations to others. The conference was also perceived to have a strong start with Professor Jill Milroy’s opening Keynote, as well as a strong finish, with Ms Mary Kelly’s concluding presentation.</w:t>
      </w:r>
    </w:p>
    <w:p w:rsidR="00F74A19" w:rsidRPr="003B1CD9" w:rsidRDefault="00F74A19" w:rsidP="00F74A19">
      <w:pPr>
        <w:spacing w:after="120"/>
        <w:jc w:val="both"/>
        <w:rPr>
          <w:rFonts w:ascii="Arial" w:hAnsi="Arial" w:cs="Arial"/>
          <w:sz w:val="22"/>
          <w:szCs w:val="22"/>
        </w:rPr>
      </w:pPr>
    </w:p>
    <w:p w:rsidR="00F74A19" w:rsidRPr="003B1CD9" w:rsidRDefault="00F74A19" w:rsidP="00F74A19">
      <w:pPr>
        <w:spacing w:after="120"/>
        <w:rPr>
          <w:rFonts w:ascii="Arial" w:hAnsi="Arial" w:cs="Arial"/>
          <w:b/>
          <w:sz w:val="20"/>
          <w:szCs w:val="20"/>
        </w:rPr>
      </w:pPr>
      <w:r w:rsidRPr="003B1CD9">
        <w:rPr>
          <w:rFonts w:ascii="Arial" w:hAnsi="Arial" w:cs="Arial"/>
          <w:b/>
          <w:sz w:val="20"/>
          <w:szCs w:val="20"/>
        </w:rPr>
        <w:t>Table 1: Keynote, Invited and Panel Speakers</w:t>
      </w:r>
    </w:p>
    <w:tbl>
      <w:tblPr>
        <w:tblStyle w:val="TableGrid"/>
        <w:tblW w:w="0" w:type="auto"/>
        <w:tblLook w:val="04A0" w:firstRow="1" w:lastRow="0" w:firstColumn="1" w:lastColumn="0" w:noHBand="0" w:noVBand="1"/>
      </w:tblPr>
      <w:tblGrid>
        <w:gridCol w:w="4187"/>
        <w:gridCol w:w="5049"/>
      </w:tblGrid>
      <w:tr w:rsidR="00F74A19" w:rsidRPr="003B1CD9" w:rsidTr="00F129E8">
        <w:tc>
          <w:tcPr>
            <w:tcW w:w="4503" w:type="dxa"/>
          </w:tcPr>
          <w:p w:rsidR="00F74A19" w:rsidRPr="003B1CD9" w:rsidRDefault="00F74A19" w:rsidP="00F129E8">
            <w:pPr>
              <w:spacing w:after="120"/>
              <w:rPr>
                <w:rFonts w:ascii="Arial" w:hAnsi="Arial" w:cs="Arial"/>
                <w:b/>
                <w:sz w:val="20"/>
                <w:szCs w:val="20"/>
              </w:rPr>
            </w:pPr>
            <w:r w:rsidRPr="003B1CD9">
              <w:rPr>
                <w:rFonts w:ascii="Arial" w:hAnsi="Arial" w:cs="Arial"/>
                <w:b/>
                <w:sz w:val="20"/>
                <w:szCs w:val="20"/>
              </w:rPr>
              <w:t>Speaker and Institution</w:t>
            </w:r>
          </w:p>
        </w:tc>
        <w:tc>
          <w:tcPr>
            <w:tcW w:w="5459" w:type="dxa"/>
          </w:tcPr>
          <w:p w:rsidR="00F74A19" w:rsidRPr="003B1CD9" w:rsidRDefault="00F74A19" w:rsidP="00F129E8">
            <w:pPr>
              <w:spacing w:after="120"/>
              <w:rPr>
                <w:rFonts w:ascii="Arial" w:hAnsi="Arial" w:cs="Arial"/>
                <w:b/>
                <w:sz w:val="20"/>
                <w:szCs w:val="20"/>
              </w:rPr>
            </w:pPr>
            <w:r w:rsidRPr="003B1CD9">
              <w:rPr>
                <w:rFonts w:ascii="Arial" w:hAnsi="Arial" w:cs="Arial"/>
                <w:b/>
                <w:sz w:val="20"/>
                <w:szCs w:val="20"/>
              </w:rPr>
              <w:t>Title of Presentation</w:t>
            </w:r>
          </w:p>
        </w:tc>
      </w:tr>
      <w:tr w:rsidR="00F74A19" w:rsidRPr="003B1CD9" w:rsidTr="00F129E8">
        <w:trPr>
          <w:trHeight w:val="581"/>
        </w:trPr>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Winthrop Professor </w:t>
            </w:r>
            <w:r w:rsidRPr="003B1CD9">
              <w:rPr>
                <w:rFonts w:ascii="Arial" w:hAnsi="Arial" w:cs="Arial"/>
                <w:b/>
                <w:sz w:val="20"/>
                <w:szCs w:val="20"/>
              </w:rPr>
              <w:t>Jill Milroy</w:t>
            </w:r>
            <w:r w:rsidRPr="003B1CD9">
              <w:rPr>
                <w:rFonts w:ascii="Arial" w:hAnsi="Arial" w:cs="Arial"/>
                <w:sz w:val="20"/>
                <w:szCs w:val="20"/>
              </w:rPr>
              <w:t xml:space="preserve"> (UWA)</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Building Aboriginal Futures as Presence not just Absence:  Education as Key or Cage?</w:t>
            </w:r>
          </w:p>
        </w:tc>
      </w:tr>
      <w:tr w:rsidR="00F74A19" w:rsidRPr="003B1CD9" w:rsidTr="00F129E8">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Professor </w:t>
            </w:r>
            <w:r w:rsidRPr="003B1CD9">
              <w:rPr>
                <w:rFonts w:ascii="Arial" w:hAnsi="Arial" w:cs="Arial"/>
                <w:b/>
                <w:sz w:val="20"/>
                <w:szCs w:val="20"/>
              </w:rPr>
              <w:t>Bob Wood</w:t>
            </w:r>
            <w:r w:rsidRPr="003B1CD9">
              <w:rPr>
                <w:rFonts w:ascii="Arial" w:hAnsi="Arial" w:cs="Arial"/>
                <w:sz w:val="20"/>
                <w:szCs w:val="20"/>
              </w:rPr>
              <w:t xml:space="preserve"> (University of Melbourne)</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Building for Greater Gender Diversity in Senior Leadership</w:t>
            </w:r>
          </w:p>
        </w:tc>
      </w:tr>
      <w:tr w:rsidR="00F74A19" w:rsidRPr="003B1CD9" w:rsidTr="00F129E8">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Mr </w:t>
            </w:r>
            <w:r w:rsidRPr="003B1CD9">
              <w:rPr>
                <w:rFonts w:ascii="Arial" w:hAnsi="Arial" w:cs="Arial"/>
                <w:b/>
                <w:sz w:val="20"/>
                <w:szCs w:val="20"/>
              </w:rPr>
              <w:t>Craig Ritchie</w:t>
            </w:r>
            <w:r w:rsidRPr="003B1CD9">
              <w:rPr>
                <w:rFonts w:ascii="Arial" w:hAnsi="Arial" w:cs="Arial"/>
                <w:sz w:val="20"/>
                <w:szCs w:val="20"/>
              </w:rPr>
              <w:t xml:space="preserve"> (Department of Education)</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Towards Collaborative Policy in equity</w:t>
            </w:r>
          </w:p>
        </w:tc>
      </w:tr>
      <w:tr w:rsidR="00F74A19" w:rsidRPr="003B1CD9" w:rsidTr="00F129E8">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Professor </w:t>
            </w:r>
            <w:r w:rsidRPr="003B1CD9">
              <w:rPr>
                <w:rFonts w:ascii="Arial" w:hAnsi="Arial" w:cs="Arial"/>
                <w:b/>
                <w:sz w:val="20"/>
                <w:szCs w:val="20"/>
              </w:rPr>
              <w:t>Sue Trinidad</w:t>
            </w:r>
            <w:r w:rsidRPr="003B1CD9">
              <w:rPr>
                <w:rFonts w:ascii="Arial" w:hAnsi="Arial" w:cs="Arial"/>
                <w:sz w:val="20"/>
                <w:szCs w:val="20"/>
              </w:rPr>
              <w:t xml:space="preserve"> (NCSEHE)</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Closing the Gap Between Equity Policy, Research &amp; Practice</w:t>
            </w:r>
          </w:p>
        </w:tc>
      </w:tr>
      <w:tr w:rsidR="00F74A19" w:rsidRPr="003B1CD9" w:rsidTr="00F129E8">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Dr </w:t>
            </w:r>
            <w:r w:rsidRPr="003B1CD9">
              <w:rPr>
                <w:rFonts w:ascii="Arial" w:hAnsi="Arial" w:cs="Arial"/>
                <w:b/>
                <w:sz w:val="20"/>
                <w:szCs w:val="20"/>
              </w:rPr>
              <w:t>Jennifer de Vries</w:t>
            </w:r>
            <w:r w:rsidRPr="003B1CD9">
              <w:rPr>
                <w:rFonts w:ascii="Arial" w:hAnsi="Arial" w:cs="Arial"/>
                <w:sz w:val="20"/>
                <w:szCs w:val="20"/>
              </w:rPr>
              <w:t xml:space="preserve"> (Independent Researcher)</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‘Some things change, some stay the same.’ Gender processes in a STEM Faculty</w:t>
            </w:r>
          </w:p>
        </w:tc>
      </w:tr>
      <w:tr w:rsidR="00F74A19" w:rsidRPr="003B1CD9" w:rsidTr="00F129E8">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Ms </w:t>
            </w:r>
            <w:r w:rsidRPr="003B1CD9">
              <w:rPr>
                <w:rFonts w:ascii="Arial" w:hAnsi="Arial" w:cs="Arial"/>
                <w:b/>
                <w:sz w:val="20"/>
                <w:szCs w:val="20"/>
              </w:rPr>
              <w:t>Dawn Hough</w:t>
            </w:r>
            <w:r w:rsidRPr="003B1CD9">
              <w:rPr>
                <w:rFonts w:ascii="Arial" w:hAnsi="Arial" w:cs="Arial"/>
                <w:sz w:val="20"/>
                <w:szCs w:val="20"/>
              </w:rPr>
              <w:t xml:space="preserve"> (Pride in Diversity)</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LGBTI Workplace Inclusion: The New Imperative</w:t>
            </w:r>
          </w:p>
        </w:tc>
      </w:tr>
      <w:tr w:rsidR="00F74A19" w:rsidRPr="003B1CD9" w:rsidTr="00F129E8">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Mr </w:t>
            </w:r>
            <w:r w:rsidRPr="003B1CD9">
              <w:rPr>
                <w:rFonts w:ascii="Arial" w:hAnsi="Arial" w:cs="Arial"/>
                <w:b/>
                <w:sz w:val="20"/>
                <w:szCs w:val="20"/>
              </w:rPr>
              <w:t>Glenn Singleton</w:t>
            </w:r>
            <w:r w:rsidRPr="003B1CD9">
              <w:rPr>
                <w:rFonts w:ascii="Arial" w:hAnsi="Arial" w:cs="Arial"/>
                <w:sz w:val="20"/>
                <w:szCs w:val="20"/>
              </w:rPr>
              <w:t xml:space="preserve"> (Pacific Educational Group, USA)</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Courageous Conversation: Getting to the Heart of the (Racial) Matter</w:t>
            </w:r>
          </w:p>
        </w:tc>
      </w:tr>
      <w:tr w:rsidR="00F74A19" w:rsidRPr="003B1CD9" w:rsidTr="00F129E8">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Dr </w:t>
            </w:r>
            <w:r w:rsidRPr="003B1CD9">
              <w:rPr>
                <w:rFonts w:ascii="Arial" w:hAnsi="Arial" w:cs="Arial"/>
                <w:b/>
                <w:sz w:val="20"/>
                <w:szCs w:val="20"/>
              </w:rPr>
              <w:t>Katie Ellis</w:t>
            </w:r>
            <w:r w:rsidRPr="003B1CD9">
              <w:rPr>
                <w:rFonts w:ascii="Arial" w:hAnsi="Arial" w:cs="Arial"/>
                <w:sz w:val="20"/>
                <w:szCs w:val="20"/>
              </w:rPr>
              <w:t xml:space="preserve"> (Curtin University)</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Rethinking Access</w:t>
            </w:r>
          </w:p>
        </w:tc>
      </w:tr>
      <w:tr w:rsidR="00F74A19" w:rsidRPr="003B1CD9" w:rsidTr="00F129E8">
        <w:trPr>
          <w:trHeight w:val="567"/>
        </w:trPr>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Professor </w:t>
            </w:r>
            <w:r w:rsidRPr="003B1CD9">
              <w:rPr>
                <w:rFonts w:ascii="Arial" w:hAnsi="Arial" w:cs="Arial"/>
                <w:b/>
                <w:sz w:val="20"/>
                <w:szCs w:val="20"/>
              </w:rPr>
              <w:t>Mustafa Ozbilgin</w:t>
            </w:r>
            <w:r w:rsidRPr="003B1CD9">
              <w:rPr>
                <w:rFonts w:ascii="Arial" w:hAnsi="Arial" w:cs="Arial"/>
                <w:sz w:val="20"/>
                <w:szCs w:val="20"/>
              </w:rPr>
              <w:t xml:space="preserve"> (Brunel University, UK)</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The Paradox of Leadership for Diversity and Leadership Diversity in Higher Education</w:t>
            </w:r>
          </w:p>
        </w:tc>
      </w:tr>
      <w:tr w:rsidR="00F74A19" w:rsidRPr="003B1CD9" w:rsidTr="00F129E8">
        <w:tc>
          <w:tcPr>
            <w:tcW w:w="4503" w:type="dxa"/>
          </w:tcPr>
          <w:p w:rsidR="00F74A19" w:rsidRPr="003B1CD9" w:rsidRDefault="00F74A19" w:rsidP="00F129E8">
            <w:pPr>
              <w:rPr>
                <w:rFonts w:ascii="Arial" w:hAnsi="Arial" w:cs="Arial"/>
                <w:sz w:val="20"/>
                <w:szCs w:val="20"/>
              </w:rPr>
            </w:pPr>
            <w:r w:rsidRPr="003B1CD9">
              <w:rPr>
                <w:rFonts w:ascii="Arial" w:hAnsi="Arial" w:cs="Arial"/>
                <w:b/>
                <w:sz w:val="20"/>
                <w:szCs w:val="20"/>
              </w:rPr>
              <w:t>Denise Conway</w:t>
            </w:r>
            <w:r w:rsidRPr="003B1CD9">
              <w:rPr>
                <w:rFonts w:ascii="Arial" w:hAnsi="Arial" w:cs="Arial"/>
                <w:sz w:val="20"/>
                <w:szCs w:val="20"/>
              </w:rPr>
              <w:t xml:space="preserve"> (Aranmore Catholic College)</w:t>
            </w:r>
          </w:p>
          <w:p w:rsidR="00F74A19" w:rsidRPr="003B1CD9" w:rsidRDefault="00F74A19" w:rsidP="00F129E8">
            <w:pPr>
              <w:rPr>
                <w:rFonts w:ascii="Arial" w:hAnsi="Arial" w:cs="Arial"/>
                <w:sz w:val="20"/>
                <w:szCs w:val="20"/>
              </w:rPr>
            </w:pPr>
            <w:r w:rsidRPr="003B1CD9">
              <w:rPr>
                <w:rFonts w:ascii="Arial" w:hAnsi="Arial" w:cs="Arial"/>
                <w:b/>
                <w:sz w:val="20"/>
                <w:szCs w:val="20"/>
              </w:rPr>
              <w:t>Greg Kelly</w:t>
            </w:r>
            <w:r w:rsidRPr="003B1CD9">
              <w:rPr>
                <w:rFonts w:ascii="Arial" w:hAnsi="Arial" w:cs="Arial"/>
                <w:sz w:val="20"/>
                <w:szCs w:val="20"/>
              </w:rPr>
              <w:t xml:space="preserve"> (Karratha High School)</w:t>
            </w:r>
          </w:p>
          <w:p w:rsidR="00F74A19" w:rsidRPr="003B1CD9" w:rsidRDefault="00F74A19" w:rsidP="00F129E8">
            <w:pPr>
              <w:rPr>
                <w:rFonts w:ascii="Arial" w:hAnsi="Arial" w:cs="Arial"/>
                <w:sz w:val="20"/>
                <w:szCs w:val="20"/>
              </w:rPr>
            </w:pPr>
            <w:r w:rsidRPr="003B1CD9">
              <w:rPr>
                <w:rFonts w:ascii="Arial" w:hAnsi="Arial" w:cs="Arial"/>
                <w:b/>
                <w:sz w:val="20"/>
                <w:szCs w:val="20"/>
              </w:rPr>
              <w:t>Kurtis Leslie</w:t>
            </w:r>
            <w:r w:rsidRPr="003B1CD9">
              <w:rPr>
                <w:rFonts w:ascii="Arial" w:hAnsi="Arial" w:cs="Arial"/>
                <w:sz w:val="20"/>
                <w:szCs w:val="20"/>
              </w:rPr>
              <w:t xml:space="preserve"> (Christian Aboriginal Parent-Directed School, Coolgardie)</w:t>
            </w:r>
          </w:p>
          <w:p w:rsidR="00F74A19" w:rsidRPr="003B1CD9" w:rsidRDefault="00F74A19" w:rsidP="00F129E8">
            <w:pPr>
              <w:rPr>
                <w:rFonts w:ascii="Arial" w:hAnsi="Arial" w:cs="Arial"/>
                <w:sz w:val="20"/>
                <w:szCs w:val="20"/>
              </w:rPr>
            </w:pPr>
            <w:r w:rsidRPr="003B1CD9">
              <w:rPr>
                <w:rFonts w:ascii="Arial" w:hAnsi="Arial" w:cs="Arial"/>
                <w:b/>
                <w:sz w:val="20"/>
                <w:szCs w:val="20"/>
              </w:rPr>
              <w:t>Ali Zafar Mohammadi</w:t>
            </w:r>
            <w:r w:rsidRPr="003B1CD9">
              <w:rPr>
                <w:rFonts w:ascii="Arial" w:hAnsi="Arial" w:cs="Arial"/>
                <w:sz w:val="20"/>
                <w:szCs w:val="20"/>
              </w:rPr>
              <w:t xml:space="preserve">  (Perth Multicultural Organisation)</w:t>
            </w:r>
          </w:p>
          <w:p w:rsidR="00F74A19" w:rsidRPr="003B1CD9" w:rsidRDefault="00F74A19" w:rsidP="00F129E8">
            <w:pPr>
              <w:rPr>
                <w:rFonts w:ascii="Arial" w:hAnsi="Arial" w:cs="Arial"/>
                <w:sz w:val="20"/>
                <w:szCs w:val="20"/>
              </w:rPr>
            </w:pPr>
            <w:r w:rsidRPr="003B1CD9">
              <w:rPr>
                <w:rFonts w:ascii="Arial" w:hAnsi="Arial" w:cs="Arial"/>
                <w:b/>
                <w:sz w:val="20"/>
                <w:szCs w:val="20"/>
              </w:rPr>
              <w:t>Greg Ryan-Gadsden</w:t>
            </w:r>
            <w:r w:rsidRPr="003B1CD9">
              <w:rPr>
                <w:rFonts w:ascii="Arial" w:hAnsi="Arial" w:cs="Arial"/>
                <w:sz w:val="20"/>
                <w:szCs w:val="20"/>
              </w:rPr>
              <w:t xml:space="preserve"> (The Smith Family)</w:t>
            </w:r>
          </w:p>
        </w:tc>
        <w:tc>
          <w:tcPr>
            <w:tcW w:w="5459"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Partnership Panel: </w:t>
            </w:r>
            <w:r w:rsidRPr="003B1CD9">
              <w:rPr>
                <w:rFonts w:ascii="Arial" w:hAnsi="Arial" w:cs="Arial"/>
                <w:i/>
                <w:sz w:val="20"/>
                <w:szCs w:val="20"/>
              </w:rPr>
              <w:t>Widening Participation in Higher Education</w:t>
            </w:r>
          </w:p>
        </w:tc>
      </w:tr>
      <w:tr w:rsidR="00F74A19" w:rsidRPr="003B1CD9" w:rsidTr="00F129E8">
        <w:tc>
          <w:tcPr>
            <w:tcW w:w="4503" w:type="dxa"/>
          </w:tcPr>
          <w:p w:rsidR="00F74A19" w:rsidRPr="003B1CD9" w:rsidRDefault="00F74A19" w:rsidP="00F129E8">
            <w:pPr>
              <w:spacing w:after="120"/>
              <w:rPr>
                <w:rFonts w:ascii="Arial" w:hAnsi="Arial" w:cs="Arial"/>
                <w:sz w:val="20"/>
                <w:szCs w:val="20"/>
              </w:rPr>
            </w:pPr>
            <w:r w:rsidRPr="003B1CD9">
              <w:rPr>
                <w:rFonts w:ascii="Arial" w:hAnsi="Arial" w:cs="Arial"/>
                <w:sz w:val="20"/>
                <w:szCs w:val="20"/>
              </w:rPr>
              <w:t xml:space="preserve">Ms </w:t>
            </w:r>
            <w:r w:rsidRPr="003B1CD9">
              <w:rPr>
                <w:rFonts w:ascii="Arial" w:hAnsi="Arial" w:cs="Arial"/>
                <w:b/>
                <w:sz w:val="20"/>
                <w:szCs w:val="20"/>
              </w:rPr>
              <w:t>Mary Kelly</w:t>
            </w:r>
            <w:r w:rsidRPr="003B1CD9">
              <w:rPr>
                <w:rFonts w:ascii="Arial" w:hAnsi="Arial" w:cs="Arial"/>
                <w:sz w:val="20"/>
                <w:szCs w:val="20"/>
              </w:rPr>
              <w:t xml:space="preserve"> (QUT)</w:t>
            </w:r>
          </w:p>
        </w:tc>
        <w:tc>
          <w:tcPr>
            <w:tcW w:w="5459" w:type="dxa"/>
          </w:tcPr>
          <w:p w:rsidR="00F74A19" w:rsidRPr="003B1CD9" w:rsidRDefault="00F74A19" w:rsidP="00F129E8">
            <w:pPr>
              <w:spacing w:after="120"/>
              <w:rPr>
                <w:rFonts w:ascii="Arial" w:hAnsi="Arial" w:cs="Arial"/>
                <w:i/>
                <w:sz w:val="20"/>
                <w:szCs w:val="20"/>
              </w:rPr>
            </w:pPr>
            <w:r w:rsidRPr="003B1CD9">
              <w:rPr>
                <w:rFonts w:ascii="Arial" w:hAnsi="Arial" w:cs="Arial"/>
                <w:i/>
                <w:sz w:val="20"/>
                <w:szCs w:val="20"/>
              </w:rPr>
              <w:t>Social Justice and Universities – Looking Ahead</w:t>
            </w:r>
          </w:p>
        </w:tc>
      </w:tr>
    </w:tbl>
    <w:p w:rsidR="00F74A19" w:rsidRPr="003B1CD9" w:rsidRDefault="00F74A19" w:rsidP="00F74A19">
      <w:pPr>
        <w:spacing w:after="120"/>
        <w:jc w:val="both"/>
        <w:rPr>
          <w:rFonts w:ascii="Arial" w:hAnsi="Arial" w:cs="Arial"/>
          <w:sz w:val="22"/>
          <w:szCs w:val="22"/>
        </w:rPr>
      </w:pP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Individual presentations were divided into two formats: 45-minute Full Papers (13 in total) and 30-minute ‘Nuts &amp; Bolts’ papers (45). While the call for abstracts elicited papers under four main streams, due to the overwhelming popularity of student outreach–focussed presentations, a flexible approach to streams was adopted during the reviewing process.</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The most challenging aspect of timetabling was ensuring that at least one staff-focussed paper was scheduled for each session. Despite our best scheduling efforts, several survey respondents noted the general shortage of both staff and Indigenous-focussed papers. A consideration for future organisers might be to elicit papers specifically in these areas, and it was also strongly hoped that having an Indigenous Keynote speaker would be continued at future conferences, as well as including a Pasifika Keynote speaker.</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 xml:space="preserve">All recorded Keynote and Invited speaker presentations, as well as PDFs of individual Powerpoint presentations have been made available through the EPHEA website: </w:t>
      </w:r>
      <w:hyperlink r:id="rId11" w:history="1">
        <w:r w:rsidRPr="003B1CD9">
          <w:rPr>
            <w:rStyle w:val="Hyperlink"/>
            <w:rFonts w:ascii="Arial" w:hAnsi="Arial" w:cs="Arial"/>
            <w:sz w:val="22"/>
            <w:szCs w:val="22"/>
          </w:rPr>
          <w:t>www.ephea.org</w:t>
        </w:r>
      </w:hyperlink>
      <w:r w:rsidRPr="003B1CD9">
        <w:rPr>
          <w:rFonts w:ascii="Arial" w:hAnsi="Arial" w:cs="Arial"/>
          <w:sz w:val="22"/>
          <w:szCs w:val="22"/>
        </w:rPr>
        <w:t xml:space="preserve"> </w:t>
      </w:r>
    </w:p>
    <w:p w:rsidR="00F74A19" w:rsidRPr="003B1CD9" w:rsidRDefault="00F74A19" w:rsidP="00F74A19">
      <w:pPr>
        <w:rPr>
          <w:rFonts w:ascii="Arial" w:hAnsi="Arial" w:cs="Arial"/>
          <w:sz w:val="22"/>
          <w:szCs w:val="22"/>
        </w:rPr>
      </w:pPr>
      <w:r w:rsidRPr="003B1CD9">
        <w:rPr>
          <w:rFonts w:ascii="Arial" w:hAnsi="Arial" w:cs="Arial"/>
          <w:sz w:val="22"/>
          <w:szCs w:val="22"/>
        </w:rPr>
        <w:br w:type="page"/>
      </w:r>
      <w:r w:rsidRPr="003B1CD9">
        <w:rPr>
          <w:rFonts w:ascii="Arial" w:hAnsi="Arial" w:cs="Arial"/>
          <w:sz w:val="22"/>
          <w:szCs w:val="22"/>
        </w:rPr>
        <w:lastRenderedPageBreak/>
        <w:t>4. Budget</w:t>
      </w:r>
    </w:p>
    <w:p w:rsidR="00F74A19" w:rsidRPr="003B1CD9" w:rsidRDefault="00F74A19" w:rsidP="00F74A19">
      <w:pPr>
        <w:spacing w:before="120"/>
        <w:jc w:val="both"/>
        <w:rPr>
          <w:rFonts w:ascii="Arial" w:hAnsi="Arial" w:cs="Arial"/>
          <w:sz w:val="22"/>
          <w:szCs w:val="22"/>
        </w:rPr>
      </w:pPr>
      <w:r w:rsidRPr="003B1CD9">
        <w:rPr>
          <w:rFonts w:ascii="Arial" w:hAnsi="Arial" w:cs="Arial"/>
          <w:sz w:val="22"/>
          <w:szCs w:val="22"/>
        </w:rPr>
        <w:t>The success of the conference was made possible by two sources of seed funding (since returned), as well as financial contributions from all four universities and other sponsors (see table 2). In addition to the costs outlined below,</w:t>
      </w:r>
      <w:r w:rsidRPr="003B1CD9">
        <w:rPr>
          <w:rFonts w:ascii="Arial" w:hAnsi="Arial" w:cs="Arial"/>
          <w:color w:val="FF0000"/>
          <w:sz w:val="22"/>
          <w:szCs w:val="22"/>
        </w:rPr>
        <w:t xml:space="preserve"> </w:t>
      </w:r>
      <w:r w:rsidRPr="003B1CD9">
        <w:rPr>
          <w:rFonts w:ascii="Arial" w:hAnsi="Arial" w:cs="Arial"/>
          <w:sz w:val="22"/>
          <w:szCs w:val="22"/>
        </w:rPr>
        <w:t>UWA contributed an additional sum to increase the conference coordinator’s FTE from 0.8 t0 1.0 during the months leading up to the conference. The Committee was also particularly pleased to realise its original intention of increasing the seed funding to be passed on to EPHEA 2015, by $2,000, to account for inflation.</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Much was learned about budgeting along the way through various financial surprises: one party speaking in Australian dollars and the other in American; no promised refunds of room deposits; suspiciously shifting decimal points in quoted prices; a range of retrospectively applied taxes, and even attempts at money laundering through the online registration site. This was truly a first for EPHEA 2013: a quick internet search for “conference scams” revealed numerous reports of fake conferences aiming to extract money from prospective attendees, but we appeared to have the first instance of fake delegates!</w:t>
      </w:r>
      <w:r w:rsidRPr="003B1CD9">
        <w:rPr>
          <w:rStyle w:val="FootnoteReference"/>
          <w:rFonts w:ascii="Arial" w:hAnsi="Arial" w:cs="Arial"/>
          <w:sz w:val="22"/>
          <w:szCs w:val="22"/>
        </w:rPr>
        <w:footnoteReference w:id="1"/>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Of those delegates registering for the entire conference, 74% registered by the earlybird cut-off date with 26%  paying the full registration. A total of 11 refunds were issued.</w:t>
      </w:r>
    </w:p>
    <w:p w:rsidR="00F74A19" w:rsidRPr="003B1CD9" w:rsidRDefault="00F74A19" w:rsidP="00F74A19">
      <w:pPr>
        <w:spacing w:after="120"/>
        <w:jc w:val="both"/>
        <w:rPr>
          <w:rFonts w:ascii="Arial" w:hAnsi="Arial" w:cs="Arial"/>
          <w:sz w:val="22"/>
          <w:szCs w:val="22"/>
        </w:rPr>
      </w:pPr>
    </w:p>
    <w:p w:rsidR="00F74A19" w:rsidRPr="003B1CD9" w:rsidRDefault="00F74A19" w:rsidP="00F74A19">
      <w:pPr>
        <w:spacing w:after="120"/>
        <w:rPr>
          <w:rFonts w:ascii="Arial" w:hAnsi="Arial" w:cs="Arial"/>
          <w:b/>
          <w:sz w:val="20"/>
          <w:szCs w:val="20"/>
        </w:rPr>
      </w:pPr>
      <w:r w:rsidRPr="003B1CD9">
        <w:rPr>
          <w:rFonts w:ascii="Arial" w:hAnsi="Arial" w:cs="Arial"/>
          <w:b/>
          <w:sz w:val="20"/>
          <w:szCs w:val="20"/>
        </w:rPr>
        <w:t xml:space="preserve">Table 2: Conference Budget </w:t>
      </w:r>
    </w:p>
    <w:tbl>
      <w:tblPr>
        <w:tblStyle w:val="TableGrid"/>
        <w:tblW w:w="0" w:type="auto"/>
        <w:tblLook w:val="04A0" w:firstRow="1" w:lastRow="0" w:firstColumn="1" w:lastColumn="0" w:noHBand="0" w:noVBand="1"/>
      </w:tblPr>
      <w:tblGrid>
        <w:gridCol w:w="7030"/>
        <w:gridCol w:w="2206"/>
      </w:tblGrid>
      <w:tr w:rsidR="00F74A19" w:rsidRPr="003B1CD9" w:rsidTr="00F129E8">
        <w:tc>
          <w:tcPr>
            <w:tcW w:w="7621" w:type="dxa"/>
            <w:tcBorders>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Seed Funding</w:t>
            </w:r>
          </w:p>
        </w:tc>
        <w:tc>
          <w:tcPr>
            <w:tcW w:w="2341" w:type="dxa"/>
            <w:tcBorders>
              <w:bottom w:val="single" w:sz="4" w:space="0" w:color="auto"/>
            </w:tcBorders>
            <w:shd w:val="pct15" w:color="auto" w:fill="auto"/>
          </w:tcPr>
          <w:p w:rsidR="00F74A19" w:rsidRPr="003B1CD9" w:rsidRDefault="00F74A19" w:rsidP="00F129E8">
            <w:pPr>
              <w:rPr>
                <w:rFonts w:ascii="Arial" w:hAnsi="Arial" w:cs="Arial"/>
                <w:sz w:val="20"/>
                <w:szCs w:val="20"/>
              </w:rPr>
            </w:pPr>
          </w:p>
        </w:tc>
      </w:tr>
      <w:tr w:rsidR="00F74A19" w:rsidRPr="003B1CD9" w:rsidTr="00F129E8">
        <w:tc>
          <w:tcPr>
            <w:tcW w:w="7621" w:type="dxa"/>
            <w:tcBorders>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AUT (EPHEA 2011)</w:t>
            </w:r>
          </w:p>
        </w:tc>
        <w:tc>
          <w:tcPr>
            <w:tcW w:w="2341" w:type="dxa"/>
            <w:tcBorders>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15,000</w:t>
            </w:r>
          </w:p>
        </w:tc>
      </w:tr>
      <w:tr w:rsidR="00F74A19" w:rsidRPr="003B1CD9" w:rsidTr="00F129E8">
        <w:tc>
          <w:tcPr>
            <w:tcW w:w="7621" w:type="dxa"/>
            <w:tcBorders>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UWA Senior Deputy Vice Chancellor</w:t>
            </w:r>
          </w:p>
        </w:tc>
        <w:tc>
          <w:tcPr>
            <w:tcW w:w="2341" w:type="dxa"/>
            <w:tcBorders>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20,000</w:t>
            </w:r>
          </w:p>
        </w:tc>
      </w:tr>
      <w:tr w:rsidR="00F74A19" w:rsidRPr="003B1CD9" w:rsidTr="00F129E8">
        <w:tc>
          <w:tcPr>
            <w:tcW w:w="7621" w:type="dxa"/>
            <w:tcBorders>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Total</w:t>
            </w:r>
          </w:p>
        </w:tc>
        <w:tc>
          <w:tcPr>
            <w:tcW w:w="2341" w:type="dxa"/>
            <w:tcBorders>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35,000</w:t>
            </w:r>
          </w:p>
        </w:tc>
      </w:tr>
      <w:tr w:rsidR="00F74A19" w:rsidRPr="003B1CD9" w:rsidTr="00F129E8">
        <w:tc>
          <w:tcPr>
            <w:tcW w:w="7621" w:type="dxa"/>
            <w:tcBorders>
              <w:top w:val="single" w:sz="4" w:space="0" w:color="auto"/>
              <w:left w:val="nil"/>
              <w:bottom w:val="single" w:sz="4" w:space="0" w:color="auto"/>
              <w:right w:val="nil"/>
            </w:tcBorders>
          </w:tcPr>
          <w:p w:rsidR="00F74A19" w:rsidRPr="003B1CD9" w:rsidRDefault="00F74A19" w:rsidP="00F129E8">
            <w:pPr>
              <w:rPr>
                <w:rFonts w:ascii="Arial" w:hAnsi="Arial" w:cs="Arial"/>
                <w:b/>
                <w:sz w:val="20"/>
                <w:szCs w:val="20"/>
              </w:rPr>
            </w:pPr>
          </w:p>
        </w:tc>
        <w:tc>
          <w:tcPr>
            <w:tcW w:w="2341" w:type="dxa"/>
            <w:tcBorders>
              <w:top w:val="single" w:sz="4" w:space="0" w:color="auto"/>
              <w:left w:val="nil"/>
              <w:bottom w:val="single" w:sz="4" w:space="0" w:color="auto"/>
              <w:right w:val="nil"/>
            </w:tcBorders>
          </w:tcPr>
          <w:p w:rsidR="00F74A19" w:rsidRPr="003B1CD9" w:rsidRDefault="00F74A19" w:rsidP="00F129E8">
            <w:pPr>
              <w:rPr>
                <w:rFonts w:ascii="Arial" w:hAnsi="Arial" w:cs="Arial"/>
                <w:sz w:val="20"/>
                <w:szCs w:val="20"/>
              </w:rPr>
            </w:pPr>
          </w:p>
        </w:tc>
      </w:tr>
      <w:tr w:rsidR="00F74A19" w:rsidRPr="003B1CD9" w:rsidTr="00F129E8">
        <w:tc>
          <w:tcPr>
            <w:tcW w:w="7621" w:type="dxa"/>
            <w:tcBorders>
              <w:top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Revenue</w:t>
            </w:r>
          </w:p>
        </w:tc>
        <w:tc>
          <w:tcPr>
            <w:tcW w:w="2341" w:type="dxa"/>
            <w:tcBorders>
              <w:top w:val="single" w:sz="4" w:space="0" w:color="auto"/>
            </w:tcBorders>
            <w:shd w:val="pct15" w:color="auto" w:fill="auto"/>
          </w:tcPr>
          <w:p w:rsidR="00F74A19" w:rsidRPr="003B1CD9" w:rsidRDefault="00F74A19" w:rsidP="00F129E8">
            <w:pPr>
              <w:rPr>
                <w:rFonts w:ascii="Arial" w:hAnsi="Arial" w:cs="Arial"/>
                <w:sz w:val="20"/>
                <w:szCs w:val="20"/>
              </w:rPr>
            </w:pPr>
          </w:p>
        </w:tc>
      </w:tr>
      <w:tr w:rsidR="00F74A19" w:rsidRPr="003B1CD9" w:rsidTr="00F129E8">
        <w:tc>
          <w:tcPr>
            <w:tcW w:w="7621" w:type="dxa"/>
          </w:tcPr>
          <w:p w:rsidR="00F74A19" w:rsidRPr="003B1CD9" w:rsidRDefault="00F74A19" w:rsidP="00F129E8">
            <w:pPr>
              <w:rPr>
                <w:rFonts w:ascii="Arial" w:hAnsi="Arial" w:cs="Arial"/>
                <w:sz w:val="20"/>
                <w:szCs w:val="20"/>
              </w:rPr>
            </w:pPr>
            <w:r w:rsidRPr="003B1CD9">
              <w:rPr>
                <w:rFonts w:ascii="Arial" w:hAnsi="Arial" w:cs="Arial"/>
                <w:sz w:val="20"/>
                <w:szCs w:val="20"/>
              </w:rPr>
              <w:t>Registrations</w:t>
            </w:r>
          </w:p>
        </w:tc>
        <w:tc>
          <w:tcPr>
            <w:tcW w:w="2341" w:type="dxa"/>
          </w:tcPr>
          <w:p w:rsidR="00F74A19" w:rsidRPr="003B1CD9" w:rsidRDefault="00F74A19" w:rsidP="00F129E8">
            <w:pPr>
              <w:rPr>
                <w:rFonts w:ascii="Arial" w:hAnsi="Arial" w:cs="Arial"/>
                <w:sz w:val="20"/>
                <w:szCs w:val="20"/>
              </w:rPr>
            </w:pPr>
            <w:r w:rsidRPr="003B1CD9">
              <w:rPr>
                <w:rFonts w:ascii="Arial" w:hAnsi="Arial" w:cs="Arial"/>
                <w:sz w:val="20"/>
                <w:szCs w:val="20"/>
              </w:rPr>
              <w:t>105,150.00</w:t>
            </w:r>
          </w:p>
        </w:tc>
      </w:tr>
      <w:tr w:rsidR="00F74A19" w:rsidRPr="003B1CD9" w:rsidTr="00F129E8">
        <w:tc>
          <w:tcPr>
            <w:tcW w:w="7621" w:type="dxa"/>
            <w:tcBorders>
              <w:bottom w:val="single" w:sz="4" w:space="0" w:color="auto"/>
            </w:tcBorders>
          </w:tcPr>
          <w:p w:rsidR="00F74A19" w:rsidRPr="003B1CD9" w:rsidRDefault="00F74A19" w:rsidP="00F129E8">
            <w:pPr>
              <w:rPr>
                <w:rFonts w:ascii="Arial" w:hAnsi="Arial" w:cs="Arial"/>
                <w:sz w:val="20"/>
                <w:szCs w:val="20"/>
              </w:rPr>
            </w:pPr>
            <w:r w:rsidRPr="003B1CD9">
              <w:rPr>
                <w:rFonts w:ascii="Arial" w:hAnsi="Arial" w:cs="Arial"/>
                <w:sz w:val="20"/>
                <w:szCs w:val="20"/>
              </w:rPr>
              <w:t>Sponsorship (Curtin, Murdoch, ECU, Unicredit, ATEM, Promaco Conventions)</w:t>
            </w:r>
          </w:p>
        </w:tc>
        <w:tc>
          <w:tcPr>
            <w:tcW w:w="2341" w:type="dxa"/>
            <w:tcBorders>
              <w:bottom w:val="single" w:sz="4" w:space="0" w:color="auto"/>
            </w:tcBorders>
          </w:tcPr>
          <w:p w:rsidR="00F74A19" w:rsidRPr="003B1CD9" w:rsidRDefault="00F74A19" w:rsidP="00F129E8">
            <w:pPr>
              <w:rPr>
                <w:rFonts w:ascii="Arial" w:hAnsi="Arial" w:cs="Arial"/>
                <w:sz w:val="20"/>
                <w:szCs w:val="20"/>
              </w:rPr>
            </w:pPr>
            <w:r w:rsidRPr="003B1CD9">
              <w:rPr>
                <w:rFonts w:ascii="Arial" w:hAnsi="Arial" w:cs="Arial"/>
                <w:sz w:val="20"/>
                <w:szCs w:val="20"/>
              </w:rPr>
              <w:t>7,200</w:t>
            </w:r>
          </w:p>
        </w:tc>
      </w:tr>
      <w:tr w:rsidR="00F74A19" w:rsidRPr="003B1CD9" w:rsidTr="00F129E8">
        <w:tc>
          <w:tcPr>
            <w:tcW w:w="7621" w:type="dxa"/>
            <w:tcBorders>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Total</w:t>
            </w:r>
          </w:p>
        </w:tc>
        <w:tc>
          <w:tcPr>
            <w:tcW w:w="2341" w:type="dxa"/>
            <w:tcBorders>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112,350.00</w:t>
            </w:r>
          </w:p>
        </w:tc>
      </w:tr>
      <w:tr w:rsidR="00F74A19" w:rsidRPr="003B1CD9" w:rsidTr="00F129E8">
        <w:tc>
          <w:tcPr>
            <w:tcW w:w="7621" w:type="dxa"/>
            <w:tcBorders>
              <w:top w:val="single" w:sz="4" w:space="0" w:color="auto"/>
              <w:left w:val="nil"/>
              <w:bottom w:val="single" w:sz="4" w:space="0" w:color="auto"/>
              <w:right w:val="nil"/>
            </w:tcBorders>
          </w:tcPr>
          <w:p w:rsidR="00F74A19" w:rsidRPr="003B1CD9" w:rsidRDefault="00F74A19" w:rsidP="00F129E8">
            <w:pPr>
              <w:rPr>
                <w:rFonts w:ascii="Arial" w:hAnsi="Arial" w:cs="Arial"/>
                <w:b/>
                <w:sz w:val="20"/>
                <w:szCs w:val="20"/>
              </w:rPr>
            </w:pPr>
          </w:p>
        </w:tc>
        <w:tc>
          <w:tcPr>
            <w:tcW w:w="2341" w:type="dxa"/>
            <w:tcBorders>
              <w:top w:val="single" w:sz="4" w:space="0" w:color="auto"/>
              <w:left w:val="nil"/>
              <w:bottom w:val="single" w:sz="4" w:space="0" w:color="auto"/>
              <w:right w:val="nil"/>
            </w:tcBorders>
          </w:tcPr>
          <w:p w:rsidR="00F74A19" w:rsidRPr="003B1CD9" w:rsidRDefault="00F74A19" w:rsidP="00F129E8">
            <w:pPr>
              <w:rPr>
                <w:rFonts w:ascii="Arial" w:hAnsi="Arial" w:cs="Arial"/>
                <w:sz w:val="20"/>
                <w:szCs w:val="20"/>
              </w:rPr>
            </w:pPr>
          </w:p>
        </w:tc>
      </w:tr>
      <w:tr w:rsidR="00F74A19" w:rsidRPr="003B1CD9" w:rsidTr="00F129E8">
        <w:tc>
          <w:tcPr>
            <w:tcW w:w="7621" w:type="dxa"/>
            <w:tcBorders>
              <w:top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Expenditure</w:t>
            </w:r>
          </w:p>
        </w:tc>
        <w:tc>
          <w:tcPr>
            <w:tcW w:w="2341" w:type="dxa"/>
            <w:tcBorders>
              <w:top w:val="single" w:sz="4" w:space="0" w:color="auto"/>
            </w:tcBorders>
            <w:shd w:val="pct15" w:color="auto" w:fill="auto"/>
          </w:tcPr>
          <w:p w:rsidR="00F74A19" w:rsidRPr="003B1CD9" w:rsidRDefault="00F74A19" w:rsidP="00F129E8">
            <w:pPr>
              <w:rPr>
                <w:rFonts w:ascii="Arial" w:hAnsi="Arial" w:cs="Arial"/>
                <w:sz w:val="20"/>
                <w:szCs w:val="20"/>
              </w:rPr>
            </w:pPr>
          </w:p>
        </w:tc>
      </w:tr>
      <w:tr w:rsidR="00F74A19" w:rsidRPr="003B1CD9" w:rsidTr="00F129E8">
        <w:tc>
          <w:tcPr>
            <w:tcW w:w="7621" w:type="dxa"/>
          </w:tcPr>
          <w:p w:rsidR="00F74A19" w:rsidRPr="003B1CD9" w:rsidRDefault="00F74A19" w:rsidP="00F129E8">
            <w:pPr>
              <w:rPr>
                <w:rFonts w:ascii="Arial" w:hAnsi="Arial" w:cs="Arial"/>
                <w:sz w:val="20"/>
                <w:szCs w:val="20"/>
              </w:rPr>
            </w:pPr>
            <w:r w:rsidRPr="003B1CD9">
              <w:rPr>
                <w:rFonts w:ascii="Arial" w:hAnsi="Arial" w:cs="Arial"/>
                <w:sz w:val="20"/>
                <w:szCs w:val="20"/>
              </w:rPr>
              <w:t>Speakers (fees, travel, accommodation , gifts)</w:t>
            </w:r>
          </w:p>
        </w:tc>
        <w:tc>
          <w:tcPr>
            <w:tcW w:w="2341" w:type="dxa"/>
          </w:tcPr>
          <w:p w:rsidR="00F74A19" w:rsidRPr="003B1CD9" w:rsidRDefault="00F74A19" w:rsidP="00F129E8">
            <w:pPr>
              <w:rPr>
                <w:rFonts w:ascii="Arial" w:hAnsi="Arial" w:cs="Arial"/>
                <w:sz w:val="20"/>
                <w:szCs w:val="20"/>
              </w:rPr>
            </w:pPr>
            <w:r w:rsidRPr="003B1CD9">
              <w:rPr>
                <w:rFonts w:ascii="Arial" w:hAnsi="Arial" w:cs="Arial"/>
                <w:sz w:val="20"/>
                <w:szCs w:val="20"/>
              </w:rPr>
              <w:t>19,887.22</w:t>
            </w:r>
          </w:p>
        </w:tc>
      </w:tr>
      <w:tr w:rsidR="00F74A19" w:rsidRPr="003B1CD9" w:rsidTr="00F129E8">
        <w:tc>
          <w:tcPr>
            <w:tcW w:w="7621" w:type="dxa"/>
          </w:tcPr>
          <w:p w:rsidR="00F74A19" w:rsidRPr="003B1CD9" w:rsidRDefault="00F74A19" w:rsidP="00F129E8">
            <w:pPr>
              <w:rPr>
                <w:rFonts w:ascii="Arial" w:hAnsi="Arial" w:cs="Arial"/>
                <w:sz w:val="20"/>
                <w:szCs w:val="20"/>
              </w:rPr>
            </w:pPr>
            <w:r w:rsidRPr="003B1CD9">
              <w:rPr>
                <w:rFonts w:ascii="Arial" w:hAnsi="Arial" w:cs="Arial"/>
                <w:sz w:val="20"/>
                <w:szCs w:val="20"/>
              </w:rPr>
              <w:t>Website/registration/refunds</w:t>
            </w:r>
          </w:p>
        </w:tc>
        <w:tc>
          <w:tcPr>
            <w:tcW w:w="2341" w:type="dxa"/>
          </w:tcPr>
          <w:p w:rsidR="00F74A19" w:rsidRPr="003B1CD9" w:rsidRDefault="00F74A19" w:rsidP="00F129E8">
            <w:pPr>
              <w:rPr>
                <w:rFonts w:ascii="Arial" w:hAnsi="Arial" w:cs="Arial"/>
                <w:sz w:val="20"/>
                <w:szCs w:val="20"/>
              </w:rPr>
            </w:pPr>
            <w:r w:rsidRPr="003B1CD9">
              <w:rPr>
                <w:rFonts w:ascii="Arial" w:hAnsi="Arial" w:cs="Arial"/>
                <w:sz w:val="20"/>
                <w:szCs w:val="20"/>
              </w:rPr>
              <w:t>16,265.85</w:t>
            </w:r>
          </w:p>
        </w:tc>
      </w:tr>
      <w:tr w:rsidR="00F74A19" w:rsidRPr="003B1CD9" w:rsidTr="00F129E8">
        <w:tc>
          <w:tcPr>
            <w:tcW w:w="7621" w:type="dxa"/>
          </w:tcPr>
          <w:p w:rsidR="00F74A19" w:rsidRPr="003B1CD9" w:rsidRDefault="00F74A19" w:rsidP="00F129E8">
            <w:pPr>
              <w:rPr>
                <w:rFonts w:ascii="Arial" w:hAnsi="Arial" w:cs="Arial"/>
                <w:sz w:val="20"/>
                <w:szCs w:val="20"/>
              </w:rPr>
            </w:pPr>
            <w:r w:rsidRPr="003B1CD9">
              <w:rPr>
                <w:rFonts w:ascii="Arial" w:hAnsi="Arial" w:cs="Arial"/>
                <w:sz w:val="20"/>
                <w:szCs w:val="20"/>
              </w:rPr>
              <w:t>Printing and stationery</w:t>
            </w:r>
          </w:p>
        </w:tc>
        <w:tc>
          <w:tcPr>
            <w:tcW w:w="2341" w:type="dxa"/>
          </w:tcPr>
          <w:p w:rsidR="00F74A19" w:rsidRPr="003B1CD9" w:rsidRDefault="00F74A19" w:rsidP="00F129E8">
            <w:pPr>
              <w:rPr>
                <w:rFonts w:ascii="Arial" w:hAnsi="Arial" w:cs="Arial"/>
                <w:sz w:val="20"/>
                <w:szCs w:val="20"/>
              </w:rPr>
            </w:pPr>
            <w:r w:rsidRPr="003B1CD9">
              <w:rPr>
                <w:rFonts w:ascii="Arial" w:hAnsi="Arial" w:cs="Arial"/>
                <w:sz w:val="20"/>
                <w:szCs w:val="20"/>
              </w:rPr>
              <w:t>2,432.14</w:t>
            </w:r>
          </w:p>
        </w:tc>
      </w:tr>
      <w:tr w:rsidR="00F74A19" w:rsidRPr="003B1CD9" w:rsidTr="00F129E8">
        <w:tc>
          <w:tcPr>
            <w:tcW w:w="7621" w:type="dxa"/>
          </w:tcPr>
          <w:p w:rsidR="00F74A19" w:rsidRPr="003B1CD9" w:rsidRDefault="00F74A19" w:rsidP="00F129E8">
            <w:pPr>
              <w:tabs>
                <w:tab w:val="left" w:pos="1627"/>
              </w:tabs>
              <w:rPr>
                <w:rFonts w:ascii="Arial" w:hAnsi="Arial" w:cs="Arial"/>
                <w:sz w:val="20"/>
                <w:szCs w:val="20"/>
              </w:rPr>
            </w:pPr>
            <w:r w:rsidRPr="003B1CD9">
              <w:rPr>
                <w:rFonts w:ascii="Arial" w:hAnsi="Arial" w:cs="Arial"/>
                <w:sz w:val="20"/>
                <w:szCs w:val="20"/>
              </w:rPr>
              <w:t>Social Events (venues, catering, entertainment, transport)</w:t>
            </w:r>
          </w:p>
        </w:tc>
        <w:tc>
          <w:tcPr>
            <w:tcW w:w="2341" w:type="dxa"/>
          </w:tcPr>
          <w:p w:rsidR="00F74A19" w:rsidRPr="003B1CD9" w:rsidRDefault="00F74A19" w:rsidP="00F129E8">
            <w:pPr>
              <w:rPr>
                <w:rFonts w:ascii="Arial" w:hAnsi="Arial" w:cs="Arial"/>
                <w:sz w:val="20"/>
                <w:szCs w:val="20"/>
              </w:rPr>
            </w:pPr>
            <w:r w:rsidRPr="003B1CD9">
              <w:rPr>
                <w:rFonts w:ascii="Arial" w:hAnsi="Arial" w:cs="Arial"/>
                <w:sz w:val="20"/>
                <w:szCs w:val="20"/>
              </w:rPr>
              <w:t>35,390.57</w:t>
            </w:r>
          </w:p>
        </w:tc>
      </w:tr>
      <w:tr w:rsidR="00F74A19" w:rsidRPr="003B1CD9" w:rsidTr="00F129E8">
        <w:tc>
          <w:tcPr>
            <w:tcW w:w="7621" w:type="dxa"/>
          </w:tcPr>
          <w:p w:rsidR="00F74A19" w:rsidRPr="003B1CD9" w:rsidRDefault="00F74A19" w:rsidP="00F129E8">
            <w:pPr>
              <w:rPr>
                <w:rFonts w:ascii="Arial" w:hAnsi="Arial" w:cs="Arial"/>
                <w:sz w:val="20"/>
                <w:szCs w:val="20"/>
              </w:rPr>
            </w:pPr>
            <w:r w:rsidRPr="003B1CD9">
              <w:rPr>
                <w:rFonts w:ascii="Arial" w:hAnsi="Arial" w:cs="Arial"/>
                <w:sz w:val="20"/>
                <w:szCs w:val="20"/>
              </w:rPr>
              <w:t>University Club and Arts Building (conference venues, AV, catering)</w:t>
            </w:r>
          </w:p>
        </w:tc>
        <w:tc>
          <w:tcPr>
            <w:tcW w:w="2341" w:type="dxa"/>
          </w:tcPr>
          <w:p w:rsidR="00F74A19" w:rsidRPr="003B1CD9" w:rsidRDefault="00F74A19" w:rsidP="00F129E8">
            <w:pPr>
              <w:rPr>
                <w:rFonts w:ascii="Arial" w:hAnsi="Arial" w:cs="Arial"/>
                <w:sz w:val="20"/>
                <w:szCs w:val="20"/>
              </w:rPr>
            </w:pPr>
            <w:r w:rsidRPr="003B1CD9">
              <w:rPr>
                <w:rFonts w:ascii="Arial" w:hAnsi="Arial" w:cs="Arial"/>
                <w:sz w:val="20"/>
                <w:szCs w:val="20"/>
              </w:rPr>
              <w:t>27,687.64</w:t>
            </w:r>
          </w:p>
        </w:tc>
      </w:tr>
      <w:tr w:rsidR="00F74A19" w:rsidRPr="003B1CD9" w:rsidTr="00F129E8">
        <w:tc>
          <w:tcPr>
            <w:tcW w:w="7621" w:type="dxa"/>
            <w:tcBorders>
              <w:bottom w:val="single" w:sz="4" w:space="0" w:color="auto"/>
            </w:tcBorders>
          </w:tcPr>
          <w:p w:rsidR="00F74A19" w:rsidRPr="003B1CD9" w:rsidRDefault="00F74A19" w:rsidP="00F129E8">
            <w:pPr>
              <w:rPr>
                <w:rFonts w:ascii="Arial" w:hAnsi="Arial" w:cs="Arial"/>
                <w:sz w:val="20"/>
                <w:szCs w:val="20"/>
              </w:rPr>
            </w:pPr>
            <w:r w:rsidRPr="003B1CD9">
              <w:rPr>
                <w:rFonts w:ascii="Arial" w:hAnsi="Arial" w:cs="Arial"/>
                <w:sz w:val="20"/>
                <w:szCs w:val="20"/>
              </w:rPr>
              <w:t>Other (volunteers, supplies, committee meeting costs)</w:t>
            </w:r>
          </w:p>
        </w:tc>
        <w:tc>
          <w:tcPr>
            <w:tcW w:w="2341" w:type="dxa"/>
            <w:tcBorders>
              <w:bottom w:val="single" w:sz="4" w:space="0" w:color="auto"/>
            </w:tcBorders>
          </w:tcPr>
          <w:p w:rsidR="00F74A19" w:rsidRPr="003B1CD9" w:rsidRDefault="00F74A19" w:rsidP="00F129E8">
            <w:pPr>
              <w:rPr>
                <w:rFonts w:ascii="Arial" w:hAnsi="Arial" w:cs="Arial"/>
                <w:sz w:val="20"/>
                <w:szCs w:val="20"/>
              </w:rPr>
            </w:pPr>
            <w:r w:rsidRPr="003B1CD9">
              <w:rPr>
                <w:rFonts w:ascii="Arial" w:hAnsi="Arial" w:cs="Arial"/>
                <w:sz w:val="20"/>
                <w:szCs w:val="20"/>
              </w:rPr>
              <w:t>1,835.08</w:t>
            </w:r>
          </w:p>
        </w:tc>
      </w:tr>
      <w:tr w:rsidR="00F74A19" w:rsidRPr="003B1CD9" w:rsidTr="00F129E8">
        <w:tc>
          <w:tcPr>
            <w:tcW w:w="7621" w:type="dxa"/>
            <w:tcBorders>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Total</w:t>
            </w:r>
          </w:p>
        </w:tc>
        <w:tc>
          <w:tcPr>
            <w:tcW w:w="2341" w:type="dxa"/>
            <w:tcBorders>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103,498.49</w:t>
            </w:r>
          </w:p>
        </w:tc>
      </w:tr>
      <w:tr w:rsidR="00F74A19" w:rsidRPr="003B1CD9" w:rsidTr="00F129E8">
        <w:tc>
          <w:tcPr>
            <w:tcW w:w="7621" w:type="dxa"/>
            <w:tcBorders>
              <w:top w:val="single" w:sz="4" w:space="0" w:color="auto"/>
              <w:left w:val="nil"/>
              <w:bottom w:val="single" w:sz="4" w:space="0" w:color="auto"/>
              <w:right w:val="nil"/>
            </w:tcBorders>
            <w:shd w:val="clear" w:color="auto" w:fill="auto"/>
          </w:tcPr>
          <w:p w:rsidR="00F74A19" w:rsidRPr="003B1CD9" w:rsidRDefault="00F74A19" w:rsidP="00F129E8">
            <w:pPr>
              <w:rPr>
                <w:rFonts w:ascii="Arial" w:hAnsi="Arial" w:cs="Arial"/>
                <w:b/>
                <w:sz w:val="20"/>
                <w:szCs w:val="20"/>
              </w:rPr>
            </w:pPr>
          </w:p>
        </w:tc>
        <w:tc>
          <w:tcPr>
            <w:tcW w:w="2341" w:type="dxa"/>
            <w:tcBorders>
              <w:top w:val="single" w:sz="4" w:space="0" w:color="auto"/>
              <w:left w:val="nil"/>
              <w:bottom w:val="single" w:sz="4" w:space="0" w:color="auto"/>
              <w:right w:val="nil"/>
            </w:tcBorders>
            <w:shd w:val="clear" w:color="auto" w:fill="auto"/>
          </w:tcPr>
          <w:p w:rsidR="00F74A19" w:rsidRPr="003B1CD9" w:rsidRDefault="00F74A19" w:rsidP="00F129E8">
            <w:pPr>
              <w:rPr>
                <w:rFonts w:ascii="Arial" w:hAnsi="Arial" w:cs="Arial"/>
                <w:sz w:val="20"/>
                <w:szCs w:val="20"/>
              </w:rPr>
            </w:pPr>
          </w:p>
        </w:tc>
      </w:tr>
      <w:tr w:rsidR="00F74A19" w:rsidRPr="003B1CD9" w:rsidTr="00F129E8">
        <w:tc>
          <w:tcPr>
            <w:tcW w:w="7621" w:type="dxa"/>
            <w:tcBorders>
              <w:top w:val="single" w:sz="4" w:space="0" w:color="auto"/>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Return of Seed Funding</w:t>
            </w:r>
          </w:p>
        </w:tc>
        <w:tc>
          <w:tcPr>
            <w:tcW w:w="2341" w:type="dxa"/>
            <w:tcBorders>
              <w:top w:val="single" w:sz="4" w:space="0" w:color="auto"/>
              <w:bottom w:val="single" w:sz="4" w:space="0" w:color="auto"/>
            </w:tcBorders>
            <w:shd w:val="pct15" w:color="auto" w:fill="auto"/>
          </w:tcPr>
          <w:p w:rsidR="00F74A19" w:rsidRPr="003B1CD9" w:rsidRDefault="00F74A19" w:rsidP="00F129E8">
            <w:pPr>
              <w:rPr>
                <w:rFonts w:ascii="Arial" w:hAnsi="Arial" w:cs="Arial"/>
                <w:sz w:val="20"/>
                <w:szCs w:val="20"/>
              </w:rPr>
            </w:pPr>
          </w:p>
        </w:tc>
      </w:tr>
      <w:tr w:rsidR="00F74A19" w:rsidRPr="003B1CD9" w:rsidTr="00F129E8">
        <w:tc>
          <w:tcPr>
            <w:tcW w:w="7621" w:type="dxa"/>
            <w:tcBorders>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Seed funding for EPHEA 2015</w:t>
            </w:r>
          </w:p>
        </w:tc>
        <w:tc>
          <w:tcPr>
            <w:tcW w:w="2341" w:type="dxa"/>
            <w:tcBorders>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17,000</w:t>
            </w:r>
          </w:p>
        </w:tc>
      </w:tr>
      <w:tr w:rsidR="00F74A19" w:rsidRPr="003B1CD9" w:rsidTr="00F129E8">
        <w:tc>
          <w:tcPr>
            <w:tcW w:w="7621" w:type="dxa"/>
            <w:tcBorders>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Return of Seed Funding to UWA</w:t>
            </w:r>
          </w:p>
        </w:tc>
        <w:tc>
          <w:tcPr>
            <w:tcW w:w="2341" w:type="dxa"/>
            <w:tcBorders>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20,000</w:t>
            </w:r>
          </w:p>
        </w:tc>
      </w:tr>
      <w:tr w:rsidR="00F74A19" w:rsidRPr="003B1CD9" w:rsidTr="00F129E8">
        <w:tc>
          <w:tcPr>
            <w:tcW w:w="7621" w:type="dxa"/>
            <w:tcBorders>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Total</w:t>
            </w:r>
          </w:p>
        </w:tc>
        <w:tc>
          <w:tcPr>
            <w:tcW w:w="2341" w:type="dxa"/>
            <w:tcBorders>
              <w:bottom w:val="single" w:sz="4" w:space="0" w:color="auto"/>
            </w:tcBorders>
            <w:shd w:val="pct1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37,000</w:t>
            </w:r>
          </w:p>
        </w:tc>
      </w:tr>
      <w:tr w:rsidR="00F74A19" w:rsidRPr="003B1CD9" w:rsidTr="00F129E8">
        <w:tc>
          <w:tcPr>
            <w:tcW w:w="7621" w:type="dxa"/>
            <w:tcBorders>
              <w:top w:val="single" w:sz="4" w:space="0" w:color="auto"/>
              <w:left w:val="nil"/>
              <w:bottom w:val="single" w:sz="4" w:space="0" w:color="auto"/>
              <w:right w:val="nil"/>
            </w:tcBorders>
            <w:shd w:val="clear" w:color="auto" w:fill="auto"/>
          </w:tcPr>
          <w:p w:rsidR="00F74A19" w:rsidRPr="003B1CD9" w:rsidRDefault="00F74A19" w:rsidP="00F129E8">
            <w:pPr>
              <w:rPr>
                <w:rFonts w:ascii="Arial" w:hAnsi="Arial" w:cs="Arial"/>
                <w:b/>
                <w:sz w:val="20"/>
                <w:szCs w:val="20"/>
              </w:rPr>
            </w:pPr>
          </w:p>
        </w:tc>
        <w:tc>
          <w:tcPr>
            <w:tcW w:w="2341" w:type="dxa"/>
            <w:tcBorders>
              <w:top w:val="single" w:sz="4" w:space="0" w:color="auto"/>
              <w:left w:val="nil"/>
              <w:bottom w:val="single" w:sz="4" w:space="0" w:color="auto"/>
              <w:right w:val="nil"/>
            </w:tcBorders>
            <w:shd w:val="clear" w:color="auto" w:fill="auto"/>
          </w:tcPr>
          <w:p w:rsidR="00F74A19" w:rsidRPr="003B1CD9" w:rsidRDefault="00F74A19" w:rsidP="00F129E8">
            <w:pPr>
              <w:rPr>
                <w:rFonts w:ascii="Arial" w:hAnsi="Arial" w:cs="Arial"/>
                <w:b/>
                <w:sz w:val="20"/>
                <w:szCs w:val="20"/>
              </w:rPr>
            </w:pPr>
          </w:p>
        </w:tc>
      </w:tr>
      <w:tr w:rsidR="00F74A19" w:rsidRPr="003B1CD9" w:rsidTr="00F129E8">
        <w:tc>
          <w:tcPr>
            <w:tcW w:w="7621" w:type="dxa"/>
            <w:tcBorders>
              <w:top w:val="single" w:sz="4" w:space="0" w:color="auto"/>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Total Revenue + Seed Funding</w:t>
            </w:r>
          </w:p>
        </w:tc>
        <w:tc>
          <w:tcPr>
            <w:tcW w:w="2341" w:type="dxa"/>
            <w:tcBorders>
              <w:top w:val="single" w:sz="4" w:space="0" w:color="auto"/>
              <w:bottom w:val="single" w:sz="4" w:space="0" w:color="auto"/>
            </w:tcBorders>
            <w:shd w:val="clear"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147,350.00</w:t>
            </w:r>
          </w:p>
        </w:tc>
      </w:tr>
      <w:tr w:rsidR="00F74A19" w:rsidRPr="003B1CD9" w:rsidTr="00F129E8">
        <w:tc>
          <w:tcPr>
            <w:tcW w:w="7621" w:type="dxa"/>
            <w:tcBorders>
              <w:top w:val="single" w:sz="4" w:space="0" w:color="auto"/>
              <w:bottom w:val="single" w:sz="4" w:space="0" w:color="auto"/>
            </w:tcBorders>
            <w:shd w:val="pct15"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Total Expenditure + Return of Seed Funding</w:t>
            </w:r>
          </w:p>
        </w:tc>
        <w:tc>
          <w:tcPr>
            <w:tcW w:w="2341" w:type="dxa"/>
            <w:tcBorders>
              <w:top w:val="single" w:sz="4" w:space="0" w:color="auto"/>
              <w:bottom w:val="single" w:sz="4" w:space="0" w:color="auto"/>
            </w:tcBorders>
            <w:shd w:val="pct15" w:color="auto" w:fill="auto"/>
          </w:tcPr>
          <w:p w:rsidR="00F74A19" w:rsidRPr="003B1CD9" w:rsidRDefault="00F74A19" w:rsidP="00F129E8">
            <w:pPr>
              <w:rPr>
                <w:rFonts w:ascii="Arial" w:hAnsi="Arial" w:cs="Arial"/>
                <w:sz w:val="20"/>
                <w:szCs w:val="20"/>
              </w:rPr>
            </w:pPr>
            <w:r w:rsidRPr="003B1CD9">
              <w:rPr>
                <w:rFonts w:ascii="Arial" w:hAnsi="Arial" w:cs="Arial"/>
                <w:sz w:val="20"/>
                <w:szCs w:val="20"/>
              </w:rPr>
              <w:t>140,498.49</w:t>
            </w:r>
          </w:p>
        </w:tc>
      </w:tr>
      <w:tr w:rsidR="00F74A19" w:rsidRPr="003B1CD9" w:rsidTr="00F129E8">
        <w:tc>
          <w:tcPr>
            <w:tcW w:w="7621" w:type="dxa"/>
            <w:shd w:val="pct2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TOTAL Conference Surplus</w:t>
            </w:r>
          </w:p>
        </w:tc>
        <w:tc>
          <w:tcPr>
            <w:tcW w:w="2341" w:type="dxa"/>
            <w:shd w:val="pct25" w:color="auto" w:fill="auto"/>
          </w:tcPr>
          <w:p w:rsidR="00F74A19" w:rsidRPr="003B1CD9" w:rsidRDefault="00F74A19" w:rsidP="00F129E8">
            <w:pPr>
              <w:rPr>
                <w:rFonts w:ascii="Arial" w:hAnsi="Arial" w:cs="Arial"/>
                <w:b/>
                <w:sz w:val="20"/>
                <w:szCs w:val="20"/>
              </w:rPr>
            </w:pPr>
            <w:r w:rsidRPr="003B1CD9">
              <w:rPr>
                <w:rFonts w:ascii="Arial" w:hAnsi="Arial" w:cs="Arial"/>
                <w:b/>
                <w:sz w:val="20"/>
                <w:szCs w:val="20"/>
              </w:rPr>
              <w:t>6,851.51</w:t>
            </w:r>
          </w:p>
        </w:tc>
      </w:tr>
    </w:tbl>
    <w:p w:rsidR="00F74A19" w:rsidRPr="003B1CD9" w:rsidRDefault="00F74A19" w:rsidP="00F74A19">
      <w:pPr>
        <w:spacing w:after="120"/>
        <w:rPr>
          <w:rFonts w:ascii="Arial" w:hAnsi="Arial" w:cs="Arial"/>
          <w:sz w:val="22"/>
          <w:szCs w:val="22"/>
        </w:rPr>
      </w:pPr>
      <w:r w:rsidRPr="003B1CD9">
        <w:rPr>
          <w:rFonts w:ascii="Arial" w:hAnsi="Arial" w:cs="Arial"/>
          <w:sz w:val="22"/>
          <w:szCs w:val="22"/>
        </w:rPr>
        <w:br w:type="page"/>
      </w:r>
      <w:r w:rsidRPr="003B1CD9">
        <w:rPr>
          <w:rFonts w:ascii="Arial" w:hAnsi="Arial" w:cs="Arial"/>
          <w:sz w:val="22"/>
          <w:szCs w:val="22"/>
        </w:rPr>
        <w:lastRenderedPageBreak/>
        <w:t>5. Highlights</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 xml:space="preserve">Despite a fair share of manic moments leading up to the conference, the entire process can only be described as </w:t>
      </w:r>
      <w:r w:rsidRPr="003B1CD9">
        <w:rPr>
          <w:rFonts w:ascii="Arial" w:hAnsi="Arial" w:cs="Arial"/>
          <w:i/>
          <w:sz w:val="22"/>
          <w:szCs w:val="22"/>
        </w:rPr>
        <w:t>fun</w:t>
      </w:r>
      <w:r w:rsidRPr="003B1CD9">
        <w:rPr>
          <w:rFonts w:ascii="Arial" w:hAnsi="Arial" w:cs="Arial"/>
          <w:sz w:val="22"/>
          <w:szCs w:val="22"/>
        </w:rPr>
        <w:t>, and we believe this was reflected in the atmosphere throughout the week. Guided by Bev Hill’s confidence-inspiring motto of “too early to panic” everything seemed to be on track until the week before the Opening Ceremony. Suddenly, thunderstorms were threatening to displace us from the Sunken Garden; the brand-new lighting rig we had been assured would be constructed in good time had “only just arrived in the country”; our paella caterers had dropped off the radar and not responded to any communication for the past three weeks, and what we had confidently been calling the 8</w:t>
      </w:r>
      <w:r w:rsidRPr="003B1CD9">
        <w:rPr>
          <w:rFonts w:ascii="Arial" w:hAnsi="Arial" w:cs="Arial"/>
          <w:sz w:val="22"/>
          <w:szCs w:val="22"/>
          <w:vertAlign w:val="superscript"/>
        </w:rPr>
        <w:t>th</w:t>
      </w:r>
      <w:r w:rsidRPr="003B1CD9">
        <w:rPr>
          <w:rFonts w:ascii="Arial" w:hAnsi="Arial" w:cs="Arial"/>
          <w:sz w:val="22"/>
          <w:szCs w:val="22"/>
        </w:rPr>
        <w:t xml:space="preserve"> biennial conference turned out to be at least the 11</w:t>
      </w:r>
      <w:r w:rsidRPr="003B1CD9">
        <w:rPr>
          <w:rFonts w:ascii="Arial" w:hAnsi="Arial" w:cs="Arial"/>
          <w:sz w:val="22"/>
          <w:szCs w:val="22"/>
          <w:vertAlign w:val="superscript"/>
        </w:rPr>
        <w:t>th</w:t>
      </w:r>
      <w:r w:rsidRPr="003B1CD9">
        <w:rPr>
          <w:rFonts w:ascii="Arial" w:hAnsi="Arial" w:cs="Arial"/>
          <w:sz w:val="22"/>
          <w:szCs w:val="22"/>
        </w:rPr>
        <w:t>. Thankfully this last fact had not been printed in the program books— which, we then realised, someone (conference coordinator) had only ordered 100 copies of, instead of 190. Yet all came good in the end and the opening night turned out to be magical, with the young Indigenous dancers from Balga Senior High School providing the perfect welcome to WA.</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 xml:space="preserve">Another highlight was surely the cocktail reception in King’s Park. After months of debating and trialling entertainment options, the trance-like atmosphere in the Frasers function room when </w:t>
      </w:r>
      <w:r w:rsidRPr="003B1CD9">
        <w:rPr>
          <w:rFonts w:ascii="Arial" w:hAnsi="Arial" w:cs="Arial"/>
          <w:i/>
          <w:sz w:val="22"/>
          <w:szCs w:val="22"/>
        </w:rPr>
        <w:t>African Music Circles</w:t>
      </w:r>
      <w:r w:rsidRPr="003B1CD9">
        <w:rPr>
          <w:rFonts w:ascii="Arial" w:hAnsi="Arial" w:cs="Arial"/>
          <w:sz w:val="22"/>
          <w:szCs w:val="22"/>
        </w:rPr>
        <w:t xml:space="preserve"> took to the stage proved we had made the right choice. Having been advised that the interactive drumming workshop would last for “15 to 30 mins depending on the group’s enthusiasm”, the drummers who engaged the crowd at 7.15pm were still going strong at 8.55 – five minutes before closing time. For some, the night continued with an extended wine appreciation tour of Perth night spots, and the following morning brought reports of blisters from drumming so hard.</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A final highlight for the Committee was our wonderful volunteers. Comprised of students from Curtin, ECU and UWA, as well as students from the UWA Centre for English Language Teaching, the volunteers’ efficiency and friendly manner was praised by staff and guests alike, and their contribution to the smooth running of the event cannot be underestimated. It was a particular pleasure to see the language students interacting with delegates and presentations while enjoying unparalleled real-life practice. The Committee would also like to acknowledge the behind-the-scenes tech support provided by the reassuring presence of Kenn Martin. Every conference needs a Kenn Martin.</w:t>
      </w:r>
    </w:p>
    <w:p w:rsidR="00F74A19" w:rsidRPr="003B1CD9" w:rsidRDefault="00F74A19" w:rsidP="00F74A19">
      <w:pPr>
        <w:spacing w:after="120"/>
        <w:jc w:val="both"/>
        <w:rPr>
          <w:rFonts w:ascii="Arial" w:hAnsi="Arial" w:cs="Arial"/>
          <w:sz w:val="22"/>
          <w:szCs w:val="22"/>
        </w:rPr>
      </w:pPr>
    </w:p>
    <w:p w:rsidR="00F74A19" w:rsidRPr="003B1CD9" w:rsidRDefault="00F74A19" w:rsidP="00F74A19">
      <w:pPr>
        <w:spacing w:after="120"/>
        <w:rPr>
          <w:rFonts w:ascii="Arial" w:hAnsi="Arial" w:cs="Arial"/>
          <w:sz w:val="22"/>
          <w:szCs w:val="22"/>
        </w:rPr>
      </w:pPr>
      <w:r w:rsidRPr="003B1CD9">
        <w:rPr>
          <w:rFonts w:ascii="Arial" w:hAnsi="Arial" w:cs="Arial"/>
          <w:sz w:val="22"/>
          <w:szCs w:val="22"/>
        </w:rPr>
        <w:t>6. Feedback and Recommendations</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The post-conference survey had a response rate of 41 % and the overwhelming single response to questions such as the reason for attending, the most beneficial aspect of the conference, and what was liked most about the conference, was “networking”.</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 xml:space="preserve">This was pleasing to the committee, as we had considered leaving out the cocktail reception in order to keep costs even lower, however delegates saw the value in having (informal) opportunities to network, with many desiring even more time. </w:t>
      </w:r>
    </w:p>
    <w:p w:rsidR="00F74A19" w:rsidRPr="003B1CD9" w:rsidRDefault="00F74A19" w:rsidP="00F74A19">
      <w:pPr>
        <w:spacing w:after="120"/>
        <w:jc w:val="both"/>
        <w:rPr>
          <w:rFonts w:ascii="Arial" w:hAnsi="Arial" w:cs="Arial"/>
          <w:sz w:val="22"/>
          <w:szCs w:val="22"/>
        </w:rPr>
      </w:pPr>
      <w:r w:rsidRPr="003B1CD9">
        <w:rPr>
          <w:rFonts w:ascii="Arial" w:hAnsi="Arial" w:cs="Arial"/>
          <w:sz w:val="22"/>
          <w:szCs w:val="22"/>
        </w:rPr>
        <w:t>The question of allocating more time for presentations and discussions was also raised in the survey responses, and other valuable suggestions included featuring a Pasifika Keynote speaker, inviting students to give Nuts &amp; Bolts presentations, and holding the conference at the beginning of the year when there is more funding available.</w:t>
      </w:r>
    </w:p>
    <w:p w:rsidR="00F74A19" w:rsidRDefault="00F74A19" w:rsidP="00F74A19">
      <w:pPr>
        <w:spacing w:after="120"/>
        <w:jc w:val="both"/>
        <w:rPr>
          <w:rFonts w:ascii="Arial" w:hAnsi="Arial" w:cs="Arial"/>
          <w:sz w:val="22"/>
          <w:szCs w:val="22"/>
        </w:rPr>
      </w:pPr>
      <w:r w:rsidRPr="003B1CD9">
        <w:rPr>
          <w:rFonts w:ascii="Arial" w:hAnsi="Arial" w:cs="Arial"/>
          <w:sz w:val="22"/>
          <w:szCs w:val="22"/>
        </w:rPr>
        <w:t>All in all, the conference was deemed to be an invaluable platform for interacting with (and meeting new) colleagues, finding out what others were doing across the sector, as well as facilitating internal team-building. In one respondent’s words, “EPHEA conferences are invaluable life-savers.”</w:t>
      </w:r>
    </w:p>
    <w:p w:rsidR="00F74A19" w:rsidRPr="003B1CD9" w:rsidRDefault="00F74A19" w:rsidP="00F74A19">
      <w:pPr>
        <w:rPr>
          <w:rFonts w:ascii="Arial" w:hAnsi="Arial" w:cs="Arial"/>
          <w:sz w:val="22"/>
          <w:szCs w:val="22"/>
        </w:rPr>
      </w:pPr>
    </w:p>
    <w:p w:rsidR="00F74A19" w:rsidRPr="003B1CD9" w:rsidRDefault="00F74A19" w:rsidP="00F74A19">
      <w:pPr>
        <w:rPr>
          <w:rFonts w:ascii="Arial" w:hAnsi="Arial" w:cs="Arial"/>
          <w:sz w:val="22"/>
          <w:szCs w:val="22"/>
        </w:rPr>
      </w:pPr>
      <w:r w:rsidRPr="003B1CD9">
        <w:rPr>
          <w:rFonts w:ascii="Arial" w:hAnsi="Arial" w:cs="Arial"/>
          <w:sz w:val="22"/>
          <w:szCs w:val="22"/>
        </w:rPr>
        <w:t>Anneli Strutt</w:t>
      </w:r>
    </w:p>
    <w:p w:rsidR="00F74A19" w:rsidRPr="003B1CD9" w:rsidRDefault="00F74A19" w:rsidP="00F74A19">
      <w:pPr>
        <w:rPr>
          <w:rFonts w:ascii="Arial" w:hAnsi="Arial" w:cs="Arial"/>
          <w:sz w:val="22"/>
          <w:szCs w:val="22"/>
        </w:rPr>
      </w:pPr>
      <w:r w:rsidRPr="003B1CD9">
        <w:rPr>
          <w:rFonts w:ascii="Arial" w:hAnsi="Arial" w:cs="Arial"/>
          <w:sz w:val="22"/>
          <w:szCs w:val="22"/>
        </w:rPr>
        <w:t>Conference Coordinator</w:t>
      </w:r>
    </w:p>
    <w:p w:rsidR="00F74A19" w:rsidRPr="003B1CD9" w:rsidRDefault="00F74A19" w:rsidP="00F74A19">
      <w:pPr>
        <w:rPr>
          <w:rFonts w:ascii="Arial" w:hAnsi="Arial" w:cs="Arial"/>
          <w:sz w:val="22"/>
          <w:szCs w:val="22"/>
        </w:rPr>
      </w:pPr>
      <w:r w:rsidRPr="003B1CD9">
        <w:rPr>
          <w:rFonts w:ascii="Arial" w:hAnsi="Arial" w:cs="Arial"/>
          <w:sz w:val="22"/>
          <w:szCs w:val="22"/>
        </w:rPr>
        <w:t>EPHEA 2013 Conference</w:t>
      </w:r>
    </w:p>
    <w:p w:rsidR="005D270C" w:rsidRDefault="005D270C" w:rsidP="001D120D">
      <w:pPr>
        <w:pStyle w:val="SubHeading"/>
        <w:sectPr w:rsidR="005D270C" w:rsidSect="002555B1">
          <w:headerReference w:type="even" r:id="rId12"/>
          <w:headerReference w:type="default" r:id="rId13"/>
          <w:footerReference w:type="default" r:id="rId14"/>
          <w:pgSz w:w="11900" w:h="16840" w:code="9"/>
          <w:pgMar w:top="1134" w:right="1440" w:bottom="1134" w:left="1440" w:header="284" w:footer="397" w:gutter="0"/>
          <w:pgNumType w:start="1"/>
          <w:cols w:space="708"/>
          <w:docGrid w:linePitch="326"/>
        </w:sectPr>
      </w:pPr>
    </w:p>
    <w:p w:rsidR="00707E58" w:rsidRPr="00B33C60" w:rsidRDefault="00150C24" w:rsidP="001D120D">
      <w:pPr>
        <w:pStyle w:val="SubHeading"/>
      </w:pPr>
      <w:bookmarkStart w:id="0" w:name="_GoBack"/>
      <w:bookmarkEnd w:id="0"/>
      <w:r>
        <w:lastRenderedPageBreak/>
        <w:pict>
          <v:shapetype id="_x0000_t202" coordsize="21600,21600" o:spt="202" path="m,l,21600r21600,l21600,xe">
            <v:stroke joinstyle="miter"/>
            <v:path gradientshapeok="t" o:connecttype="rect"/>
          </v:shapetype>
          <v:shape id="_x0000_s1040" type="#_x0000_t202" style="position:absolute;margin-left:56.7pt;margin-top:680.1pt;width:254.85pt;height:141.15pt;z-index:251657728;mso-wrap-edited:f;mso-position-horizontal-relative:page;mso-position-vertical-relative:page" wrapcoords="0 0 21600 0 21600 21600 0 21600 0 0" filled="f" stroked="f">
            <v:fill o:detectmouseclick="t"/>
            <v:textbox style="mso-next-textbox:#_x0000_s1040" inset="0,0,0,0">
              <w:txbxContent>
                <w:p w:rsidR="00A606E1" w:rsidRPr="00AC3071" w:rsidRDefault="00DF5515" w:rsidP="00707E58">
                  <w:pPr>
                    <w:pStyle w:val="AddressBlock"/>
                    <w:rPr>
                      <w:rFonts w:cs="Arial"/>
                      <w:b/>
                      <w:color w:val="000000"/>
                      <w:lang w:val="en-US"/>
                    </w:rPr>
                  </w:pPr>
                  <w:r>
                    <w:rPr>
                      <w:rFonts w:cs="Arial"/>
                      <w:b/>
                      <w:color w:val="000000"/>
                      <w:lang w:val="en-US"/>
                    </w:rPr>
                    <w:t>Equity and Diversity</w:t>
                  </w:r>
                </w:p>
                <w:p w:rsidR="00A606E1" w:rsidRPr="00AC3071" w:rsidRDefault="00A606E1" w:rsidP="00707E58">
                  <w:pPr>
                    <w:tabs>
                      <w:tab w:val="left" w:pos="567"/>
                    </w:tabs>
                    <w:rPr>
                      <w:rFonts w:ascii="Arial" w:hAnsi="Arial" w:cs="Arial"/>
                      <w:sz w:val="16"/>
                      <w:szCs w:val="16"/>
                    </w:rPr>
                  </w:pPr>
                </w:p>
                <w:p w:rsidR="00A606E1" w:rsidRPr="00AC3071" w:rsidRDefault="00A606E1" w:rsidP="00351D39">
                  <w:pPr>
                    <w:pStyle w:val="AddressBlock"/>
                  </w:pPr>
                  <w:r w:rsidRPr="00AC3071">
                    <w:t>The University of Western Australia</w:t>
                  </w:r>
                  <w:r w:rsidR="00DF5515">
                    <w:br/>
                    <w:t>M350</w:t>
                  </w:r>
                  <w:r w:rsidRPr="00AC3071">
                    <w:t>, 35 Stirling Highway, Crawley WA 6009</w:t>
                  </w:r>
                </w:p>
                <w:p w:rsidR="00A606E1" w:rsidRPr="00AC3071" w:rsidRDefault="00A606E1" w:rsidP="00351D39">
                  <w:pPr>
                    <w:pStyle w:val="AddressBlock"/>
                  </w:pPr>
                  <w:r w:rsidRPr="00AC3071">
                    <w:t xml:space="preserve"> </w:t>
                  </w:r>
                </w:p>
                <w:p w:rsidR="00A606E1" w:rsidRPr="00AC3071" w:rsidRDefault="00DF5515" w:rsidP="00351D39">
                  <w:pPr>
                    <w:pStyle w:val="AddressBlock"/>
                    <w:rPr>
                      <w:lang w:val="fr-FR"/>
                    </w:rPr>
                  </w:pPr>
                  <w:r>
                    <w:rPr>
                      <w:lang w:val="fr-FR"/>
                    </w:rPr>
                    <w:t>Tel</w:t>
                  </w:r>
                  <w:r>
                    <w:rPr>
                      <w:lang w:val="fr-FR"/>
                    </w:rPr>
                    <w:tab/>
                    <w:t>+61 8 6488 3873</w:t>
                  </w:r>
                </w:p>
                <w:p w:rsidR="00A606E1" w:rsidRPr="00AC3071" w:rsidRDefault="00DF5515" w:rsidP="00351D39">
                  <w:pPr>
                    <w:pStyle w:val="AddressBlock"/>
                    <w:rPr>
                      <w:lang w:val="fr-FR"/>
                    </w:rPr>
                  </w:pPr>
                  <w:r>
                    <w:rPr>
                      <w:lang w:val="fr-FR"/>
                    </w:rPr>
                    <w:t>Fax</w:t>
                  </w:r>
                  <w:r>
                    <w:rPr>
                      <w:lang w:val="fr-FR"/>
                    </w:rPr>
                    <w:tab/>
                    <w:t>+61 8 6488 1046</w:t>
                  </w:r>
                </w:p>
                <w:p w:rsidR="00A606E1" w:rsidRPr="00AC3071" w:rsidRDefault="00DF5515" w:rsidP="00351D39">
                  <w:pPr>
                    <w:pStyle w:val="AddressBlock"/>
                    <w:rPr>
                      <w:b/>
                      <w:lang w:val="fr-FR"/>
                    </w:rPr>
                  </w:pPr>
                  <w:r>
                    <w:rPr>
                      <w:b/>
                      <w:lang w:val="fr-FR"/>
                    </w:rPr>
                    <w:t>Web</w:t>
                  </w:r>
                  <w:r>
                    <w:rPr>
                      <w:b/>
                      <w:lang w:val="fr-FR"/>
                    </w:rPr>
                    <w:tab/>
                    <w:t>hr</w:t>
                  </w:r>
                  <w:r w:rsidR="00A606E1" w:rsidRPr="00AC3071">
                    <w:rPr>
                      <w:b/>
                      <w:lang w:val="fr-FR"/>
                    </w:rPr>
                    <w:t>.uwa.edu.au</w:t>
                  </w:r>
                  <w:r>
                    <w:rPr>
                      <w:b/>
                      <w:lang w:val="fr-FR"/>
                    </w:rPr>
                    <w:t>/equity</w:t>
                  </w:r>
                </w:p>
                <w:p w:rsidR="00A606E1" w:rsidRPr="00AC3071" w:rsidRDefault="00A606E1" w:rsidP="00707E58">
                  <w:pPr>
                    <w:tabs>
                      <w:tab w:val="left" w:pos="567"/>
                    </w:tabs>
                    <w:rPr>
                      <w:rFonts w:ascii="Arial" w:hAnsi="Arial" w:cs="Arial"/>
                      <w:b/>
                      <w:bCs/>
                      <w:sz w:val="16"/>
                      <w:szCs w:val="16"/>
                      <w:lang w:val="fr-FR"/>
                    </w:rPr>
                  </w:pPr>
                </w:p>
                <w:p w:rsidR="00A606E1" w:rsidRPr="00112652" w:rsidRDefault="00A606E1" w:rsidP="00707E58">
                  <w:pPr>
                    <w:pStyle w:val="CRICOSCode"/>
                    <w:rPr>
                      <w:color w:val="000000"/>
                      <w:lang w:val="fr-FR"/>
                    </w:rPr>
                  </w:pPr>
                  <w:r w:rsidRPr="00AC3071">
                    <w:rPr>
                      <w:rFonts w:cs="Arial"/>
                      <w:color w:val="000000"/>
                      <w:lang w:val="fr-FR"/>
                    </w:rPr>
                    <w:t>CRICOS</w:t>
                  </w:r>
                  <w:r w:rsidRPr="00112652">
                    <w:rPr>
                      <w:caps/>
                      <w:color w:val="000000"/>
                      <w:lang w:val="fr-FR"/>
                    </w:rPr>
                    <w:t xml:space="preserve"> P</w:t>
                  </w:r>
                  <w:r w:rsidRPr="00112652">
                    <w:rPr>
                      <w:color w:val="000000"/>
                      <w:lang w:val="fr-FR"/>
                    </w:rPr>
                    <w:t>rovider Code: 00126G</w:t>
                  </w:r>
                </w:p>
              </w:txbxContent>
            </v:textbox>
            <w10:wrap anchorx="page" anchory="page"/>
            <w10:anchorlock/>
          </v:shape>
        </w:pict>
      </w:r>
    </w:p>
    <w:sectPr w:rsidR="00707E58" w:rsidRPr="00B33C60" w:rsidSect="005D270C">
      <w:headerReference w:type="default" r:id="rId15"/>
      <w:footerReference w:type="default" r:id="rId16"/>
      <w:pgSz w:w="11900" w:h="16840" w:code="9"/>
      <w:pgMar w:top="2812" w:right="1134" w:bottom="113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E7" w:rsidRDefault="00CD6BE7">
      <w:r>
        <w:separator/>
      </w:r>
    </w:p>
  </w:endnote>
  <w:endnote w:type="continuationSeparator" w:id="0">
    <w:p w:rsidR="00CD6BE7" w:rsidRDefault="00CD6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HelveticaNeue-Medium">
    <w:altName w:val="Helvetica 65 Medium"/>
    <w:panose1 w:val="00000000000000000000"/>
    <w:charset w:val="4D"/>
    <w:family w:val="auto"/>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E1" w:rsidRPr="00AC3071" w:rsidRDefault="00CD6BE7" w:rsidP="00AC3071">
    <w:pPr>
      <w:pStyle w:val="Footer"/>
    </w:pPr>
    <w:r>
      <w:rPr>
        <w:noProof/>
        <w:lang w:val="en-AU" w:eastAsia="en-AU"/>
      </w:rPr>
      <w:drawing>
        <wp:anchor distT="0" distB="0" distL="114300" distR="114300" simplePos="0" relativeHeight="251657728" behindDoc="0" locked="0" layoutInCell="1" allowOverlap="1" wp14:anchorId="44310E49" wp14:editId="28FDEB73">
          <wp:simplePos x="0" y="0"/>
          <wp:positionH relativeFrom="page">
            <wp:posOffset>180340</wp:posOffset>
          </wp:positionH>
          <wp:positionV relativeFrom="page">
            <wp:posOffset>10405110</wp:posOffset>
          </wp:positionV>
          <wp:extent cx="7208520" cy="106680"/>
          <wp:effectExtent l="19050" t="0" r="0" b="0"/>
          <wp:wrapNone/>
          <wp:docPr id="36" name="Picture 36" descr="NF str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NF strip"/>
                  <pic:cNvPicPr>
                    <a:picLocks noChangeArrowheads="1"/>
                  </pic:cNvPicPr>
                </pic:nvPicPr>
                <pic:blipFill>
                  <a:blip r:embed="rId1"/>
                  <a:srcRect/>
                  <a:stretch>
                    <a:fillRect/>
                  </a:stretch>
                </pic:blipFill>
                <pic:spPr bwMode="auto">
                  <a:xfrm>
                    <a:off x="0" y="0"/>
                    <a:ext cx="7208520" cy="10668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E1" w:rsidRDefault="00CD6BE7">
    <w:pPr>
      <w:pStyle w:val="Footer"/>
    </w:pPr>
    <w:r>
      <w:rPr>
        <w:noProof/>
        <w:lang w:val="en-AU" w:eastAsia="en-AU"/>
      </w:rPr>
      <w:drawing>
        <wp:anchor distT="0" distB="0" distL="114300" distR="114300" simplePos="0" relativeHeight="251656704" behindDoc="0" locked="0" layoutInCell="1" allowOverlap="1" wp14:anchorId="303E67F4" wp14:editId="6526D8ED">
          <wp:simplePos x="0" y="0"/>
          <wp:positionH relativeFrom="page">
            <wp:posOffset>180340</wp:posOffset>
          </wp:positionH>
          <wp:positionV relativeFrom="page">
            <wp:posOffset>10405110</wp:posOffset>
          </wp:positionV>
          <wp:extent cx="7208520" cy="106680"/>
          <wp:effectExtent l="19050" t="0" r="0" b="0"/>
          <wp:wrapNone/>
          <wp:docPr id="37" name="Picture 37" descr="NF str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NF strip"/>
                  <pic:cNvPicPr>
                    <a:picLocks noChangeArrowheads="1"/>
                  </pic:cNvPicPr>
                </pic:nvPicPr>
                <pic:blipFill>
                  <a:blip r:embed="rId1"/>
                  <a:srcRect/>
                  <a:stretch>
                    <a:fillRect/>
                  </a:stretch>
                </pic:blipFill>
                <pic:spPr bwMode="auto">
                  <a:xfrm>
                    <a:off x="0" y="0"/>
                    <a:ext cx="7208520" cy="10668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0C" w:rsidRPr="005D270C" w:rsidRDefault="003B1CD9" w:rsidP="003B1CD9">
    <w:pPr>
      <w:pStyle w:val="Footer"/>
      <w:rPr>
        <w:lang w:val="en-AU"/>
      </w:rPr>
    </w:pPr>
    <w:r>
      <w:rPr>
        <w:noProof/>
        <w:lang w:val="en-AU" w:eastAsia="en-AU"/>
      </w:rPr>
      <w:drawing>
        <wp:inline distT="0" distB="0" distL="0" distR="0" wp14:anchorId="100484B1" wp14:editId="186320F7">
          <wp:extent cx="853204" cy="47244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488_EPHEA logo+swan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6541" cy="474288"/>
                  </a:xfrm>
                  <a:prstGeom prst="rect">
                    <a:avLst/>
                  </a:prstGeom>
                </pic:spPr>
              </pic:pic>
            </a:graphicData>
          </a:graphic>
        </wp:inline>
      </w:drawing>
    </w:r>
    <w:r>
      <w:rPr>
        <w:rFonts w:ascii="Arial" w:hAnsi="Arial" w:cs="Arial"/>
        <w:sz w:val="20"/>
        <w:szCs w:val="20"/>
        <w:lang w:val="en-AU"/>
      </w:rPr>
      <w:tab/>
    </w:r>
    <w:r>
      <w:rPr>
        <w:rFonts w:ascii="Arial" w:hAnsi="Arial" w:cs="Arial"/>
        <w:sz w:val="20"/>
        <w:szCs w:val="20"/>
        <w:lang w:val="en-AU"/>
      </w:rPr>
      <w:tab/>
      <w:t xml:space="preserve">       </w:t>
    </w:r>
    <w:r w:rsidR="005D270C" w:rsidRPr="003B1CD9">
      <w:rPr>
        <w:rFonts w:ascii="Arial" w:hAnsi="Arial" w:cs="Arial"/>
        <w:sz w:val="20"/>
        <w:szCs w:val="20"/>
        <w:lang w:val="en-AU"/>
      </w:rPr>
      <w:t xml:space="preserve">EPHEA 2013 Conference Report </w:t>
    </w:r>
    <w:r w:rsidR="005D270C" w:rsidRPr="003B1CD9">
      <w:rPr>
        <w:rFonts w:ascii="Arial" w:hAnsi="Arial" w:cs="Arial"/>
        <w:sz w:val="20"/>
        <w:szCs w:val="20"/>
        <w:lang w:val="en-AU"/>
      </w:rPr>
      <w:fldChar w:fldCharType="begin"/>
    </w:r>
    <w:r w:rsidR="005D270C" w:rsidRPr="003B1CD9">
      <w:rPr>
        <w:rFonts w:ascii="Arial" w:hAnsi="Arial" w:cs="Arial"/>
        <w:sz w:val="20"/>
        <w:szCs w:val="20"/>
        <w:lang w:val="en-AU"/>
      </w:rPr>
      <w:instrText xml:space="preserve"> PAGE   \* MERGEFORMAT </w:instrText>
    </w:r>
    <w:r w:rsidR="005D270C" w:rsidRPr="003B1CD9">
      <w:rPr>
        <w:rFonts w:ascii="Arial" w:hAnsi="Arial" w:cs="Arial"/>
        <w:sz w:val="20"/>
        <w:szCs w:val="20"/>
        <w:lang w:val="en-AU"/>
      </w:rPr>
      <w:fldChar w:fldCharType="separate"/>
    </w:r>
    <w:r w:rsidR="00150C24">
      <w:rPr>
        <w:rFonts w:ascii="Arial" w:hAnsi="Arial" w:cs="Arial"/>
        <w:noProof/>
        <w:sz w:val="20"/>
        <w:szCs w:val="20"/>
        <w:lang w:val="en-AU"/>
      </w:rPr>
      <w:t>1</w:t>
    </w:r>
    <w:r w:rsidR="005D270C" w:rsidRPr="003B1CD9">
      <w:rPr>
        <w:rFonts w:ascii="Arial" w:hAnsi="Arial" w:cs="Arial"/>
        <w:noProof/>
        <w:sz w:val="20"/>
        <w:szCs w:val="20"/>
        <w:lang w:val="en-AU"/>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0C" w:rsidRPr="005D270C" w:rsidRDefault="005D270C">
    <w:pPr>
      <w:pStyle w:val="Footer"/>
      <w:rPr>
        <w:lang w:val="en-AU"/>
      </w:rPr>
    </w:pPr>
    <w:r>
      <w:rPr>
        <w:noProof/>
        <w:lang w:val="en-AU" w:eastAsia="en-AU"/>
      </w:rPr>
      <w:drawing>
        <wp:anchor distT="0" distB="0" distL="114300" distR="114300" simplePos="0" relativeHeight="251676160" behindDoc="0" locked="0" layoutInCell="1" allowOverlap="1" wp14:anchorId="5F45CB70" wp14:editId="139A7E14">
          <wp:simplePos x="0" y="0"/>
          <wp:positionH relativeFrom="page">
            <wp:posOffset>76200</wp:posOffset>
          </wp:positionH>
          <wp:positionV relativeFrom="page">
            <wp:posOffset>10507980</wp:posOffset>
          </wp:positionV>
          <wp:extent cx="7399020" cy="106680"/>
          <wp:effectExtent l="0" t="0" r="0" b="0"/>
          <wp:wrapNone/>
          <wp:docPr id="59" name="Picture 59" descr="NF str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NF strip"/>
                  <pic:cNvPicPr>
                    <a:picLocks noChangeArrowheads="1"/>
                  </pic:cNvPicPr>
                </pic:nvPicPr>
                <pic:blipFill>
                  <a:blip r:embed="rId1"/>
                  <a:srcRect/>
                  <a:stretch>
                    <a:fillRect/>
                  </a:stretch>
                </pic:blipFill>
                <pic:spPr bwMode="auto">
                  <a:xfrm>
                    <a:off x="0" y="0"/>
                    <a:ext cx="7399020" cy="106680"/>
                  </a:xfrm>
                  <a:prstGeom prst="rect">
                    <a:avLst/>
                  </a:prstGeom>
                  <a:noFill/>
                  <a:ln w="9525">
                    <a:noFill/>
                    <a:miter lim="800000"/>
                    <a:headEnd/>
                    <a:tailEnd/>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E7" w:rsidRDefault="00CD6BE7">
      <w:r>
        <w:separator/>
      </w:r>
    </w:p>
  </w:footnote>
  <w:footnote w:type="continuationSeparator" w:id="0">
    <w:p w:rsidR="00CD6BE7" w:rsidRDefault="00CD6BE7">
      <w:r>
        <w:continuationSeparator/>
      </w:r>
    </w:p>
  </w:footnote>
  <w:footnote w:id="1">
    <w:p w:rsidR="00F74A19" w:rsidRPr="003B1CD9" w:rsidRDefault="00F74A19" w:rsidP="00F74A19">
      <w:pPr>
        <w:pStyle w:val="FootnoteText"/>
        <w:jc w:val="both"/>
        <w:rPr>
          <w:rFonts w:ascii="Arial" w:hAnsi="Arial" w:cs="Arial"/>
          <w:sz w:val="18"/>
          <w:szCs w:val="18"/>
        </w:rPr>
      </w:pPr>
      <w:r w:rsidRPr="003B1CD9">
        <w:rPr>
          <w:rStyle w:val="FootnoteReference"/>
          <w:rFonts w:ascii="Arial" w:hAnsi="Arial" w:cs="Arial"/>
          <w:sz w:val="18"/>
          <w:szCs w:val="18"/>
        </w:rPr>
        <w:footnoteRef/>
      </w:r>
      <w:r w:rsidRPr="003B1CD9">
        <w:rPr>
          <w:rFonts w:ascii="Arial" w:hAnsi="Arial" w:cs="Arial"/>
          <w:sz w:val="18"/>
          <w:szCs w:val="18"/>
        </w:rPr>
        <w:t xml:space="preserve"> Tip: If six people from a ‘company’ unknown to you, Google or LinkedIn register for an Equity Practitioners’ conference, be wary. Especially when, after each has indicated a disability and Halaal diet, you follow up and their response is: “</w:t>
      </w:r>
      <w:r w:rsidRPr="003B1CD9">
        <w:rPr>
          <w:rFonts w:ascii="Arial" w:eastAsia="Times New Roman" w:hAnsi="Arial" w:cs="Arial"/>
          <w:sz w:val="18"/>
          <w:szCs w:val="18"/>
        </w:rPr>
        <w:t>Please kindly disregard the mobility, hearing and visual requirements.</w:t>
      </w:r>
      <w:r w:rsidRPr="003B1CD9">
        <w:rPr>
          <w:rFonts w:ascii="Arial" w:hAnsi="Arial" w:cs="Arial"/>
          <w:sz w:val="18"/>
          <w:szCs w:val="18"/>
        </w:rPr>
        <w:t>” Not to mention when, the following week, they ask for the registrations to be refunded onto a different credit card, ending</w:t>
      </w:r>
      <w:r w:rsidRPr="003B1CD9">
        <w:rPr>
          <w:rFonts w:ascii="Arial" w:eastAsia="Times New Roman" w:hAnsi="Arial" w:cs="Arial"/>
          <w:sz w:val="18"/>
          <w:szCs w:val="18"/>
        </w:rPr>
        <w:t xml:space="preserve"> the email with:</w:t>
      </w:r>
      <w:r w:rsidRPr="003B1CD9">
        <w:rPr>
          <w:rFonts w:ascii="Arial" w:hAnsi="Arial" w:cs="Arial"/>
          <w:sz w:val="18"/>
          <w:szCs w:val="18"/>
        </w:rPr>
        <w:t xml:space="preserve"> “KINDLY DELETE IMMEDIATELY AFTER USE.”</w:t>
      </w:r>
    </w:p>
    <w:p w:rsidR="00F74A19" w:rsidRDefault="00F74A19" w:rsidP="00F74A19">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E1" w:rsidRDefault="00150C24">
    <w:pPr>
      <w:pStyle w:val="Header"/>
    </w:pPr>
    <w:r>
      <w:rPr>
        <w:noProof/>
      </w:rPr>
      <w:pict>
        <v:group id="_x0000_s2078" style="position:absolute;margin-left:-42.5pt;margin-top:-.7pt;width:564.7pt;height:92.25pt;z-index:251665920" coordorigin="284,289" coordsize="11294,1845">
          <v:rect id="_x0000_s2079" style="position:absolute;left:284;top:289;width:11294;height:166" fillcolor="#00abbe" stroked="f"/>
          <v:rect id="_x0000_s2080" style="position:absolute;left:284;top:456;width:11294;height:1678" fillcolor="black" stroked="f"/>
          <v:shapetype id="_x0000_t202" coordsize="21600,21600" o:spt="202" path="m,l,21600r21600,l21600,xe">
            <v:stroke joinstyle="miter"/>
            <v:path gradientshapeok="t" o:connecttype="rect"/>
          </v:shapetype>
          <v:shape id="_x0000_s2081" type="#_x0000_t202" style="position:absolute;left:966;top:741;width:4384;height:1074;mso-wrap-style:none" filled="f">
            <v:textbox style="mso-next-textbox:#_x0000_s2081;mso-fit-shape-to-text:t">
              <w:txbxContent>
                <w:p w:rsidR="005B5998" w:rsidRDefault="005B5998" w:rsidP="005B5998">
                  <w:r w:rsidRPr="003C10E4">
                    <w:rPr>
                      <w:noProof/>
                      <w:lang w:val="en-AU" w:eastAsia="en-AU"/>
                    </w:rPr>
                    <w:drawing>
                      <wp:inline distT="0" distB="0" distL="0" distR="0" wp14:anchorId="32CDC890" wp14:editId="1B94072B">
                        <wp:extent cx="2562225" cy="581025"/>
                        <wp:effectExtent l="19050" t="0" r="9525" b="0"/>
                        <wp:docPr id="38" name="Picture 35" descr="P:\Design Resources\LOGOS\UWA Logos\EMFs\Block PMS R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Design Resources\LOGOS\UWA Logos\EMFs\Block PMS REV.emf"/>
                                <pic:cNvPicPr>
                                  <a:picLocks noChangeAspect="1" noChangeArrowheads="1"/>
                                </pic:cNvPicPr>
                              </pic:nvPicPr>
                              <pic:blipFill>
                                <a:blip r:embed="rId1"/>
                                <a:srcRect/>
                                <a:stretch>
                                  <a:fillRect/>
                                </a:stretch>
                              </pic:blipFill>
                              <pic:spPr bwMode="auto">
                                <a:xfrm>
                                  <a:off x="0" y="0"/>
                                  <a:ext cx="2562225" cy="581025"/>
                                </a:xfrm>
                                <a:prstGeom prst="rect">
                                  <a:avLst/>
                                </a:prstGeom>
                                <a:noFill/>
                                <a:ln w="9525">
                                  <a:noFill/>
                                  <a:miter lim="800000"/>
                                  <a:headEnd/>
                                  <a:tailEnd/>
                                </a:ln>
                              </pic:spPr>
                            </pic:pic>
                          </a:graphicData>
                        </a:graphic>
                      </wp:inline>
                    </w:drawing>
                  </w:r>
                </w:p>
              </w:txbxContent>
            </v:textbox>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E1" w:rsidRDefault="00150C24">
    <w:pPr>
      <w:pStyle w:val="Header"/>
    </w:pPr>
    <w:r>
      <w:rPr>
        <w:noProof/>
      </w:rPr>
      <w:pict>
        <v:group id="_x0000_s2077" style="position:absolute;margin-left:-42.5pt;margin-top:.25pt;width:564.7pt;height:92.25pt;z-index:251664896" coordorigin="284,289" coordsize="11294,1845">
          <v:rect id="_x0000_s2074" style="position:absolute;left:284;top:289;width:11294;height:166" o:regroupid="1" fillcolor="#00abbe" stroked="f"/>
          <v:rect id="_x0000_s2075" style="position:absolute;left:284;top:456;width:11294;height:1678" o:regroupid="1" fillcolor="black" stroked="f"/>
          <v:shapetype id="_x0000_t202" coordsize="21600,21600" o:spt="202" path="m,l,21600r21600,l21600,xe">
            <v:stroke joinstyle="miter"/>
            <v:path gradientshapeok="t" o:connecttype="rect"/>
          </v:shapetype>
          <v:shape id="_x0000_s2076" type="#_x0000_t202" style="position:absolute;left:966;top:741;width:4384;height:1074" o:regroupid="1" filled="f">
            <v:textbox style="mso-next-textbox:#_x0000_s2076">
              <w:txbxContent>
                <w:p w:rsidR="005B5998" w:rsidRDefault="005B5998" w:rsidP="005B5998">
                  <w:r w:rsidRPr="003C10E4">
                    <w:rPr>
                      <w:noProof/>
                      <w:lang w:val="en-AU" w:eastAsia="en-AU"/>
                    </w:rPr>
                    <w:drawing>
                      <wp:inline distT="0" distB="0" distL="0" distR="0" wp14:anchorId="53AC3EB1" wp14:editId="11EDFA99">
                        <wp:extent cx="2562225" cy="581025"/>
                        <wp:effectExtent l="19050" t="0" r="9525" b="0"/>
                        <wp:docPr id="91" name="Picture 35" descr="P:\Design Resources\LOGOS\UWA Logos\EMFs\Block PMS R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Design Resources\LOGOS\UWA Logos\EMFs\Block PMS REV.emf"/>
                                <pic:cNvPicPr>
                                  <a:picLocks noChangeAspect="1" noChangeArrowheads="1"/>
                                </pic:cNvPicPr>
                              </pic:nvPicPr>
                              <pic:blipFill>
                                <a:blip r:embed="rId1"/>
                                <a:srcRect/>
                                <a:stretch>
                                  <a:fillRect/>
                                </a:stretch>
                              </pic:blipFill>
                              <pic:spPr bwMode="auto">
                                <a:xfrm>
                                  <a:off x="0" y="0"/>
                                  <a:ext cx="2562225" cy="581025"/>
                                </a:xfrm>
                                <a:prstGeom prst="rect">
                                  <a:avLst/>
                                </a:prstGeom>
                                <a:noFill/>
                                <a:ln w="9525">
                                  <a:noFill/>
                                  <a:miter lim="800000"/>
                                  <a:headEnd/>
                                  <a:tailEnd/>
                                </a:ln>
                              </pic:spPr>
                            </pic:pic>
                          </a:graphicData>
                        </a:graphic>
                      </wp:inline>
                    </w:drawing>
                  </w:r>
                </w:p>
              </w:txbxContent>
            </v:textbox>
          </v:shape>
        </v:group>
      </w:pict>
    </w:r>
    <w:r w:rsidR="00CD6BE7">
      <w:rPr>
        <w:noProof/>
        <w:lang w:val="en-AU" w:eastAsia="en-AU"/>
      </w:rPr>
      <w:drawing>
        <wp:anchor distT="0" distB="0" distL="114300" distR="114300" simplePos="0" relativeHeight="251655680" behindDoc="0" locked="0" layoutInCell="1" allowOverlap="1" wp14:anchorId="0E79BF4B" wp14:editId="6FAC61A8">
          <wp:simplePos x="0" y="0"/>
          <wp:positionH relativeFrom="page">
            <wp:posOffset>180340</wp:posOffset>
          </wp:positionH>
          <wp:positionV relativeFrom="page">
            <wp:posOffset>7920990</wp:posOffset>
          </wp:positionV>
          <wp:extent cx="7196455" cy="1888490"/>
          <wp:effectExtent l="19050" t="0" r="4445" b="0"/>
          <wp:wrapNone/>
          <wp:docPr id="35" name="Picture 35" descr="NF 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F pics"/>
                  <pic:cNvPicPr>
                    <a:picLocks noChangeAspect="1" noChangeArrowheads="1"/>
                  </pic:cNvPicPr>
                </pic:nvPicPr>
                <pic:blipFill>
                  <a:blip r:embed="rId2"/>
                  <a:srcRect/>
                  <a:stretch>
                    <a:fillRect/>
                  </a:stretch>
                </pic:blipFill>
                <pic:spPr bwMode="auto">
                  <a:xfrm>
                    <a:off x="0" y="0"/>
                    <a:ext cx="7196455" cy="1888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19" w:rsidRDefault="00F74A19">
    <w:pPr>
      <w:pStyle w:val="Header"/>
    </w:pPr>
    <w:r>
      <w:rPr>
        <w:noProof/>
      </w:rPr>
      <w:pict>
        <v:group id="_x0000_s2104" style="position:absolute;margin-left:-42.5pt;margin-top:-.7pt;width:564.7pt;height:92.25pt;z-index:251671040" coordorigin="284,289" coordsize="11294,1845">
          <v:rect id="_x0000_s2105" style="position:absolute;left:284;top:289;width:11294;height:166" fillcolor="#00abbe" stroked="f"/>
          <v:rect id="_x0000_s2106" style="position:absolute;left:284;top:456;width:11294;height:1678" fillcolor="black" stroked="f"/>
          <v:shapetype id="_x0000_t202" coordsize="21600,21600" o:spt="202" path="m,l,21600r21600,l21600,xe">
            <v:stroke joinstyle="miter"/>
            <v:path gradientshapeok="t" o:connecttype="rect"/>
          </v:shapetype>
          <v:shape id="_x0000_s2107" type="#_x0000_t202" style="position:absolute;left:966;top:741;width:4384;height:1074;mso-wrap-style:none" filled="f">
            <v:textbox style="mso-next-textbox:#_x0000_s2107;mso-fit-shape-to-text:t">
              <w:txbxContent>
                <w:p w:rsidR="00F74A19" w:rsidRDefault="00F74A19" w:rsidP="005B5998">
                  <w:r w:rsidRPr="003C10E4">
                    <w:rPr>
                      <w:noProof/>
                      <w:lang w:val="en-AU" w:eastAsia="en-AU"/>
                    </w:rPr>
                    <w:drawing>
                      <wp:inline distT="0" distB="0" distL="0" distR="0" wp14:anchorId="1A92C7B3" wp14:editId="0C03E849">
                        <wp:extent cx="2562225" cy="581025"/>
                        <wp:effectExtent l="19050" t="0" r="9525" b="0"/>
                        <wp:docPr id="80" name="Picture 35" descr="P:\Design Resources\LOGOS\UWA Logos\EMFs\Block PMS R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Design Resources\LOGOS\UWA Logos\EMFs\Block PMS REV.emf"/>
                                <pic:cNvPicPr>
                                  <a:picLocks noChangeAspect="1" noChangeArrowheads="1"/>
                                </pic:cNvPicPr>
                              </pic:nvPicPr>
                              <pic:blipFill>
                                <a:blip r:embed="rId1"/>
                                <a:srcRect/>
                                <a:stretch>
                                  <a:fillRect/>
                                </a:stretch>
                              </pic:blipFill>
                              <pic:spPr bwMode="auto">
                                <a:xfrm>
                                  <a:off x="0" y="0"/>
                                  <a:ext cx="2562225" cy="581025"/>
                                </a:xfrm>
                                <a:prstGeom prst="rect">
                                  <a:avLst/>
                                </a:prstGeom>
                                <a:noFill/>
                                <a:ln w="9525">
                                  <a:noFill/>
                                  <a:miter lim="800000"/>
                                  <a:headEnd/>
                                  <a:tailEnd/>
                                </a:ln>
                              </pic:spPr>
                            </pic:pic>
                          </a:graphicData>
                        </a:graphic>
                      </wp:inline>
                    </w:drawing>
                  </w:r>
                </w:p>
              </w:txbxContent>
            </v:textbox>
          </v:shape>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A19" w:rsidRDefault="00F74A1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70C" w:rsidRDefault="005D270C">
    <w:pPr>
      <w:pStyle w:val="Header"/>
    </w:pPr>
    <w:r>
      <w:rPr>
        <w:noProof/>
        <w:lang w:val="en-AU" w:eastAsia="en-AU"/>
      </w:rPr>
      <w:pict>
        <v:group id="_x0000_s2108" style="position:absolute;margin-left:-38.9pt;margin-top:12.25pt;width:564.7pt;height:92.25pt;z-index:251672064" coordorigin="284,289" coordsize="11294,1845">
          <v:rect id="_x0000_s2109" style="position:absolute;left:284;top:289;width:11294;height:166" fillcolor="#00abbe" stroked="f"/>
          <v:rect id="_x0000_s2110" style="position:absolute;left:284;top:456;width:11294;height:1678" fillcolor="black" stroked="f"/>
          <v:shapetype id="_x0000_t202" coordsize="21600,21600" o:spt="202" path="m,l,21600r21600,l21600,xe">
            <v:stroke joinstyle="miter"/>
            <v:path gradientshapeok="t" o:connecttype="rect"/>
          </v:shapetype>
          <v:shape id="_x0000_s2111" type="#_x0000_t202" style="position:absolute;left:966;top:741;width:4384;height:1074;mso-wrap-style:none" filled="f">
            <v:textbox style="mso-next-textbox:#_x0000_s2111;mso-fit-shape-to-text:t">
              <w:txbxContent>
                <w:p w:rsidR="005D270C" w:rsidRDefault="005D270C" w:rsidP="005D270C">
                  <w:r w:rsidRPr="003C10E4">
                    <w:rPr>
                      <w:noProof/>
                      <w:lang w:val="en-AU" w:eastAsia="en-AU"/>
                    </w:rPr>
                    <w:drawing>
                      <wp:inline distT="0" distB="0" distL="0" distR="0" wp14:anchorId="143AD5E2" wp14:editId="302BF726">
                        <wp:extent cx="2562225" cy="581025"/>
                        <wp:effectExtent l="19050" t="0" r="9525" b="0"/>
                        <wp:docPr id="57" name="Picture 35" descr="P:\Design Resources\LOGOS\UWA Logos\EMFs\Block PMS REV.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Design Resources\LOGOS\UWA Logos\EMFs\Block PMS REV.emf"/>
                                <pic:cNvPicPr>
                                  <a:picLocks noChangeAspect="1" noChangeArrowheads="1"/>
                                </pic:cNvPicPr>
                              </pic:nvPicPr>
                              <pic:blipFill>
                                <a:blip r:embed="rId1"/>
                                <a:srcRect/>
                                <a:stretch>
                                  <a:fillRect/>
                                </a:stretch>
                              </pic:blipFill>
                              <pic:spPr bwMode="auto">
                                <a:xfrm>
                                  <a:off x="0" y="0"/>
                                  <a:ext cx="2562225" cy="581025"/>
                                </a:xfrm>
                                <a:prstGeom prst="rect">
                                  <a:avLst/>
                                </a:prstGeom>
                                <a:noFill/>
                                <a:ln w="9525">
                                  <a:noFill/>
                                  <a:miter lim="800000"/>
                                  <a:headEnd/>
                                  <a:tailEnd/>
                                </a:ln>
                              </pic:spPr>
                            </pic:pic>
                          </a:graphicData>
                        </a:graphic>
                      </wp:inline>
                    </w:drawing>
                  </w:r>
                </w:p>
              </w:txbxContent>
            </v:textbox>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112"/>
    <o:shapelayout v:ext="edit">
      <o:idmap v:ext="edit" data="2"/>
      <o:regrouptable v:ext="edit">
        <o:entry new="1" old="0"/>
      </o:regrouptable>
    </o:shapelayout>
  </w:hdrShapeDefaults>
  <w:footnotePr>
    <w:footnote w:id="-1"/>
    <w:footnote w:id="0"/>
  </w:footnotePr>
  <w:endnotePr>
    <w:endnote w:id="-1"/>
    <w:endnote w:id="0"/>
  </w:endnotePr>
  <w:compat>
    <w:compatSetting w:name="compatibilityMode" w:uri="http://schemas.microsoft.com/office/word" w:val="12"/>
  </w:compat>
  <w:rsids>
    <w:rsidRoot w:val="005B5998"/>
    <w:rsid w:val="00055B6E"/>
    <w:rsid w:val="000D37A2"/>
    <w:rsid w:val="00112652"/>
    <w:rsid w:val="00132B75"/>
    <w:rsid w:val="00150C24"/>
    <w:rsid w:val="00170081"/>
    <w:rsid w:val="00176ED2"/>
    <w:rsid w:val="001D120D"/>
    <w:rsid w:val="00211F1B"/>
    <w:rsid w:val="002555B1"/>
    <w:rsid w:val="002E1055"/>
    <w:rsid w:val="0030466F"/>
    <w:rsid w:val="00327170"/>
    <w:rsid w:val="00351D39"/>
    <w:rsid w:val="0037063E"/>
    <w:rsid w:val="003B1CD9"/>
    <w:rsid w:val="003B41DB"/>
    <w:rsid w:val="003D1C5D"/>
    <w:rsid w:val="003F1216"/>
    <w:rsid w:val="00413B63"/>
    <w:rsid w:val="00531011"/>
    <w:rsid w:val="005B5998"/>
    <w:rsid w:val="005D270C"/>
    <w:rsid w:val="006D2754"/>
    <w:rsid w:val="00707E58"/>
    <w:rsid w:val="008175FE"/>
    <w:rsid w:val="008D4055"/>
    <w:rsid w:val="008D5F56"/>
    <w:rsid w:val="009310AC"/>
    <w:rsid w:val="00934608"/>
    <w:rsid w:val="0096378C"/>
    <w:rsid w:val="00A2699E"/>
    <w:rsid w:val="00A26F5F"/>
    <w:rsid w:val="00A606E1"/>
    <w:rsid w:val="00AC3071"/>
    <w:rsid w:val="00B33C60"/>
    <w:rsid w:val="00B6737B"/>
    <w:rsid w:val="00B87B9C"/>
    <w:rsid w:val="00BF7070"/>
    <w:rsid w:val="00CD6BE7"/>
    <w:rsid w:val="00D64700"/>
    <w:rsid w:val="00DD5E93"/>
    <w:rsid w:val="00DF5515"/>
    <w:rsid w:val="00E4609D"/>
    <w:rsid w:val="00F352B3"/>
    <w:rsid w:val="00F72977"/>
    <w:rsid w:val="00F74A19"/>
    <w:rsid w:val="00FB2C5B"/>
    <w:rsid w:val="00FD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13C"/>
    <w:rPr>
      <w:sz w:val="24"/>
      <w:szCs w:val="24"/>
    </w:rPr>
  </w:style>
  <w:style w:type="paragraph" w:styleId="Heading1">
    <w:name w:val="heading 1"/>
    <w:basedOn w:val="Normal"/>
    <w:next w:val="Normal"/>
    <w:qFormat/>
    <w:rsid w:val="00351D3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1C1"/>
    <w:pPr>
      <w:tabs>
        <w:tab w:val="center" w:pos="4320"/>
        <w:tab w:val="right" w:pos="8640"/>
      </w:tabs>
    </w:pPr>
  </w:style>
  <w:style w:type="character" w:customStyle="1" w:styleId="HeaderChar">
    <w:name w:val="Header Char"/>
    <w:basedOn w:val="DefaultParagraphFont"/>
    <w:link w:val="Header"/>
    <w:uiPriority w:val="99"/>
    <w:rsid w:val="005D51C1"/>
  </w:style>
  <w:style w:type="paragraph" w:styleId="Footer">
    <w:name w:val="footer"/>
    <w:basedOn w:val="Normal"/>
    <w:link w:val="FooterChar"/>
    <w:uiPriority w:val="99"/>
    <w:unhideWhenUsed/>
    <w:rsid w:val="005D51C1"/>
    <w:pPr>
      <w:tabs>
        <w:tab w:val="center" w:pos="4320"/>
        <w:tab w:val="right" w:pos="8640"/>
      </w:tabs>
    </w:pPr>
  </w:style>
  <w:style w:type="character" w:customStyle="1" w:styleId="FooterChar">
    <w:name w:val="Footer Char"/>
    <w:basedOn w:val="DefaultParagraphFont"/>
    <w:link w:val="Footer"/>
    <w:uiPriority w:val="99"/>
    <w:rsid w:val="005D51C1"/>
  </w:style>
  <w:style w:type="paragraph" w:styleId="BalloonText">
    <w:name w:val="Balloon Text"/>
    <w:basedOn w:val="Normal"/>
    <w:link w:val="BalloonTextChar"/>
    <w:uiPriority w:val="99"/>
    <w:semiHidden/>
    <w:unhideWhenUsed/>
    <w:rsid w:val="005B5998"/>
    <w:rPr>
      <w:rFonts w:ascii="Tahoma" w:hAnsi="Tahoma" w:cs="Tahoma"/>
      <w:sz w:val="16"/>
      <w:szCs w:val="16"/>
    </w:rPr>
  </w:style>
  <w:style w:type="character" w:customStyle="1" w:styleId="BalloonTextChar">
    <w:name w:val="Balloon Text Char"/>
    <w:basedOn w:val="DefaultParagraphFont"/>
    <w:link w:val="BalloonText"/>
    <w:uiPriority w:val="99"/>
    <w:semiHidden/>
    <w:rsid w:val="005B5998"/>
    <w:rPr>
      <w:rFonts w:ascii="Tahoma" w:hAnsi="Tahoma" w:cs="Tahoma"/>
      <w:sz w:val="16"/>
      <w:szCs w:val="16"/>
    </w:rPr>
  </w:style>
  <w:style w:type="paragraph" w:customStyle="1" w:styleId="AddressBlock">
    <w:name w:val="Address Block"/>
    <w:basedOn w:val="Normal"/>
    <w:uiPriority w:val="99"/>
    <w:rsid w:val="00351D39"/>
    <w:pPr>
      <w:widowControl w:val="0"/>
      <w:tabs>
        <w:tab w:val="left" w:pos="567"/>
      </w:tabs>
      <w:autoSpaceDE w:val="0"/>
      <w:autoSpaceDN w:val="0"/>
      <w:adjustRightInd w:val="0"/>
      <w:spacing w:line="200" w:lineRule="atLeast"/>
      <w:textAlignment w:val="center"/>
    </w:pPr>
    <w:rPr>
      <w:rFonts w:ascii="Arial" w:hAnsi="Arial" w:cs="HelveticaNeue-Medium"/>
      <w:sz w:val="16"/>
      <w:szCs w:val="16"/>
      <w:lang w:val="en-GB"/>
    </w:rPr>
  </w:style>
  <w:style w:type="paragraph" w:customStyle="1" w:styleId="CRICOSCode">
    <w:name w:val="CRICOS Code"/>
    <w:basedOn w:val="Normal"/>
    <w:uiPriority w:val="99"/>
    <w:rsid w:val="00351D39"/>
    <w:pPr>
      <w:widowControl w:val="0"/>
      <w:tabs>
        <w:tab w:val="left" w:pos="227"/>
        <w:tab w:val="left" w:pos="1587"/>
        <w:tab w:val="left" w:pos="1814"/>
      </w:tabs>
      <w:autoSpaceDE w:val="0"/>
      <w:autoSpaceDN w:val="0"/>
      <w:adjustRightInd w:val="0"/>
      <w:spacing w:line="160" w:lineRule="atLeast"/>
      <w:textAlignment w:val="center"/>
    </w:pPr>
    <w:rPr>
      <w:rFonts w:ascii="Arial" w:hAnsi="Arial" w:cs="HelveticaNeue-Light"/>
      <w:sz w:val="12"/>
      <w:szCs w:val="12"/>
      <w:lang w:val="en-GB"/>
    </w:rPr>
  </w:style>
  <w:style w:type="paragraph" w:customStyle="1" w:styleId="FacultySchoolName">
    <w:name w:val="Faculty / School  Name"/>
    <w:basedOn w:val="Normal"/>
    <w:rsid w:val="00351D39"/>
    <w:pPr>
      <w:widowControl w:val="0"/>
      <w:autoSpaceDE w:val="0"/>
      <w:autoSpaceDN w:val="0"/>
      <w:adjustRightInd w:val="0"/>
      <w:spacing w:line="288" w:lineRule="auto"/>
      <w:textAlignment w:val="center"/>
    </w:pPr>
    <w:rPr>
      <w:rFonts w:ascii="Arial" w:hAnsi="Arial" w:cs="Times-Roman"/>
      <w:color w:val="000000"/>
      <w:spacing w:val="2"/>
      <w:sz w:val="32"/>
      <w:lang w:val="en-GB"/>
    </w:rPr>
  </w:style>
  <w:style w:type="paragraph" w:customStyle="1" w:styleId="MainHeading">
    <w:name w:val="Main Heading"/>
    <w:basedOn w:val="Normal"/>
    <w:rsid w:val="00351D39"/>
    <w:pPr>
      <w:widowControl w:val="0"/>
      <w:autoSpaceDE w:val="0"/>
      <w:autoSpaceDN w:val="0"/>
      <w:adjustRightInd w:val="0"/>
      <w:spacing w:line="288" w:lineRule="auto"/>
      <w:textAlignment w:val="center"/>
    </w:pPr>
    <w:rPr>
      <w:rFonts w:ascii="Arial" w:hAnsi="Arial" w:cs="Times-Roman"/>
      <w:color w:val="000000"/>
      <w:sz w:val="68"/>
      <w:lang w:val="en-GB"/>
    </w:rPr>
  </w:style>
  <w:style w:type="paragraph" w:customStyle="1" w:styleId="SubHeading">
    <w:name w:val="Sub Heading"/>
    <w:basedOn w:val="Normal"/>
    <w:rsid w:val="00351D39"/>
    <w:pPr>
      <w:widowControl w:val="0"/>
      <w:autoSpaceDE w:val="0"/>
      <w:autoSpaceDN w:val="0"/>
      <w:adjustRightInd w:val="0"/>
      <w:spacing w:line="288" w:lineRule="auto"/>
      <w:textAlignment w:val="center"/>
    </w:pPr>
    <w:rPr>
      <w:rFonts w:ascii="Arial" w:hAnsi="Arial" w:cs="Times-Roman"/>
      <w:color w:val="000000"/>
      <w:sz w:val="36"/>
      <w:lang w:val="en-GB"/>
    </w:rPr>
  </w:style>
  <w:style w:type="paragraph" w:styleId="FootnoteText">
    <w:name w:val="footnote text"/>
    <w:basedOn w:val="Normal"/>
    <w:link w:val="FootnoteTextChar"/>
    <w:uiPriority w:val="99"/>
    <w:semiHidden/>
    <w:unhideWhenUsed/>
    <w:rsid w:val="00F74A19"/>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semiHidden/>
    <w:rsid w:val="00F74A19"/>
    <w:rPr>
      <w:rFonts w:asciiTheme="minorHAnsi" w:eastAsiaTheme="minorHAnsi" w:hAnsiTheme="minorHAnsi" w:cstheme="minorBidi"/>
      <w:lang w:val="en-AU"/>
    </w:rPr>
  </w:style>
  <w:style w:type="character" w:styleId="FootnoteReference">
    <w:name w:val="footnote reference"/>
    <w:basedOn w:val="DefaultParagraphFont"/>
    <w:uiPriority w:val="99"/>
    <w:semiHidden/>
    <w:unhideWhenUsed/>
    <w:rsid w:val="00F74A19"/>
    <w:rPr>
      <w:vertAlign w:val="superscript"/>
    </w:rPr>
  </w:style>
  <w:style w:type="table" w:styleId="TableGrid">
    <w:name w:val="Table Grid"/>
    <w:basedOn w:val="TableNormal"/>
    <w:uiPriority w:val="59"/>
    <w:rsid w:val="00F74A19"/>
    <w:rPr>
      <w:rFonts w:asciiTheme="minorHAnsi" w:eastAsiaTheme="minorHAnsi" w:hAnsiTheme="minorHAnsi" w:cstheme="minorBid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4A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phea.org"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10112</Characters>
  <Application>Microsoft Office Word</Application>
  <DocSecurity>0</DocSecurity>
  <Lines>1123</Lines>
  <Paragraphs>592</Paragraphs>
  <ScaleCrop>false</ScaleCrop>
  <HeadingPairs>
    <vt:vector size="2" baseType="variant">
      <vt:variant>
        <vt:lpstr>Title</vt:lpstr>
      </vt:variant>
      <vt:variant>
        <vt:i4>1</vt:i4>
      </vt:variant>
    </vt:vector>
  </HeadingPairs>
  <TitlesOfParts>
    <vt:vector size="1" baseType="lpstr">
      <vt:lpstr> </vt:lpstr>
    </vt:vector>
  </TitlesOfParts>
  <Company>The University of WA - Print</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nhalliday</dc:creator>
  <cp:keywords/>
  <cp:lastModifiedBy>Anneli Strutt</cp:lastModifiedBy>
  <cp:revision>2</cp:revision>
  <cp:lastPrinted>2014-07-31T08:57:00Z</cp:lastPrinted>
  <dcterms:created xsi:type="dcterms:W3CDTF">2014-07-31T08:59:00Z</dcterms:created>
  <dcterms:modified xsi:type="dcterms:W3CDTF">2014-07-31T08:59:00Z</dcterms:modified>
</cp:coreProperties>
</file>